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pPr>
      <w:r>
        <w:rPr>
          <w:rFonts w:cs="Times New Roman" w:ascii="Times New Roman" w:hAnsi="Times New Roman"/>
          <w:b/>
          <w:bCs/>
          <w:color w:val="000000"/>
        </w:rPr>
        <w:t xml:space="preserve">CONCORRÊNCIA N.º </w:t>
      </w:r>
      <w:r>
        <w:rPr>
          <w:rFonts w:cs="Times New Roman" w:ascii="Times New Roman" w:hAnsi="Times New Roman"/>
          <w:b/>
          <w:bCs/>
          <w:color w:val="000000"/>
        </w:rPr>
        <w:t>84</w:t>
      </w:r>
      <w:r>
        <w:rPr>
          <w:rFonts w:cs="Times New Roman" w:ascii="Times New Roman" w:hAnsi="Times New Roman"/>
          <w:b/>
          <w:bCs/>
          <w:color w:val="000000"/>
        </w:rPr>
        <w:t>-2026</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CONCEDENTE</w:t>
      </w:r>
    </w:p>
    <w:p>
      <w:pPr>
        <w:pStyle w:val="Standard"/>
        <w:jc w:val="center"/>
        <w:rPr>
          <w:rFonts w:ascii="Times New Roman" w:hAnsi="Times New Roman" w:cs="Times New Roman"/>
          <w:color w:val="000000"/>
        </w:rPr>
      </w:pPr>
      <w:r>
        <w:rPr>
          <w:rFonts w:cs="Times New Roman" w:ascii="Times New Roman" w:hAnsi="Times New Roman"/>
          <w:color w:val="000000"/>
        </w:rPr>
        <w:t>MUNICÍPIO DE CAXIAS DO SUL</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OBJETO</w:t>
      </w:r>
    </w:p>
    <w:p>
      <w:pPr>
        <w:pStyle w:val="Textbodyindent"/>
        <w:jc w:val="center"/>
        <w:rPr>
          <w:rFonts w:ascii="Times New Roman" w:hAnsi="Times New Roman" w:cs="Times New Roman"/>
          <w:b w:val="false"/>
          <w:color w:val="000000"/>
          <w:sz w:val="24"/>
        </w:rPr>
      </w:pPr>
      <w:r>
        <w:rPr>
          <w:rFonts w:cs="Times New Roman" w:ascii="Times New Roman" w:hAnsi="Times New Roman"/>
          <w:b w:val="false"/>
          <w:color w:val="000000"/>
          <w:sz w:val="24"/>
        </w:rPr>
      </w:r>
    </w:p>
    <w:p>
      <w:pPr>
        <w:pStyle w:val="Standard"/>
        <w:ind w:left="283"/>
        <w:jc w:val="both"/>
        <w:rPr/>
      </w:pPr>
      <w:r>
        <w:rPr>
          <w:rFonts w:cs="Times New Roman" w:ascii="Times New Roman" w:hAnsi="Times New Roman"/>
          <w:color w:val="00000A"/>
        </w:rPr>
        <w:t>CONCESSÃO DOS SERVIÇOS FUNERÁRIOS NO ÂMBITO DO MUNICÍPIO DE CAXIAS DO SUL, MEDIANTE O PAGAMENTO DE OUTORGA ONEROSA FIXA E A CONTRAPRESTAÇÃO GRATUITA DOS SERVIÇOS FUNERÁRIOS, PARA OS CASOS PREVISTOS NA LEI.</w:t>
      </w:r>
    </w:p>
    <w:p>
      <w:pPr>
        <w:pStyle w:val="Standard"/>
        <w:rPr>
          <w:rFonts w:ascii="Times New Roman" w:hAnsi="Times New Roman" w:cs="Times New Roman"/>
          <w:b/>
          <w:bCs/>
          <w:color w:val="000000"/>
        </w:rPr>
      </w:pPr>
      <w:r>
        <w:rPr>
          <w:rFonts w:cs="Times New Roman" w:ascii="Times New Roman" w:hAnsi="Times New Roman"/>
          <w:b/>
          <w:bCs/>
          <w:color w:val="000000"/>
        </w:rPr>
      </w:r>
    </w:p>
    <w:p>
      <w:pPr>
        <w:pStyle w:val="Standard"/>
        <w:rPr>
          <w:rFonts w:ascii="Times New Roman" w:hAnsi="Times New Roman" w:cs="Times New Roman"/>
          <w:b/>
          <w:bCs/>
          <w:color w:val="000000"/>
        </w:rPr>
      </w:pPr>
      <w:r>
        <w:rPr>
          <w:rFonts w:cs="Times New Roman" w:ascii="Times New Roman" w:hAnsi="Times New Roman"/>
          <w:b/>
          <w:bCs/>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keepLines/>
        <w:jc w:val="center"/>
        <w:rPr/>
      </w:pPr>
      <w:r>
        <w:rPr>
          <w:rFonts w:cs="Times New Roman" w:ascii="Times New Roman" w:hAnsi="Times New Roman"/>
          <w:b/>
          <w:bCs/>
          <w:color w:val="000000"/>
        </w:rPr>
        <w:t>DATA DE ABERTURA:</w:t>
      </w:r>
    </w:p>
    <w:p>
      <w:pPr>
        <w:pStyle w:val="Standard"/>
        <w:jc w:val="center"/>
        <w:rPr/>
      </w:pPr>
      <w:r>
        <w:rPr>
          <w:rFonts w:cs="Times New Roman" w:ascii="Times New Roman" w:hAnsi="Times New Roman"/>
          <w:color w:val="000000"/>
        </w:rPr>
        <w:t xml:space="preserve"> </w:t>
      </w:r>
      <w:r>
        <w:rPr>
          <w:rFonts w:eastAsia="Times New Roman" w:cs="Times New Roman" w:ascii="Times New Roman" w:hAnsi="Times New Roman"/>
          <w:color w:val="000000"/>
          <w:lang w:bidi="ar-SA"/>
        </w:rPr>
        <w:t xml:space="preserve">Dia </w:t>
      </w:r>
      <w:r>
        <w:rPr>
          <w:rFonts w:eastAsia="Times New Roman" w:cs="Times New Roman" w:ascii="Times New Roman" w:hAnsi="Times New Roman"/>
          <w:color w:val="000000"/>
          <w:lang w:bidi="ar-SA"/>
        </w:rPr>
        <w:t>29/05/26</w:t>
      </w:r>
      <w:r>
        <w:rPr>
          <w:rFonts w:eastAsia="Times New Roman" w:cs="Times New Roman" w:ascii="Times New Roman" w:hAnsi="Times New Roman"/>
          <w:color w:val="000000"/>
          <w:lang w:bidi="ar-SA"/>
        </w:rPr>
        <w:t xml:space="preserve"> às </w:t>
      </w:r>
      <w:r>
        <w:rPr>
          <w:rFonts w:eastAsia="Times New Roman" w:cs="Times New Roman" w:ascii="Times New Roman" w:hAnsi="Times New Roman"/>
          <w:color w:val="000000"/>
          <w:lang w:bidi="ar-SA"/>
        </w:rPr>
        <w:t>9</w:t>
      </w:r>
      <w:r>
        <w:rPr>
          <w:rFonts w:eastAsia="Times New Roman" w:cs="Times New Roman" w:ascii="Times New Roman" w:hAnsi="Times New Roman"/>
          <w:color w:val="000000"/>
          <w:lang w:bidi="ar-SA"/>
        </w:rPr>
        <w:t>h (horário de Brasília)</w:t>
      </w:r>
    </w:p>
    <w:p>
      <w:pPr>
        <w:pStyle w:val="Standard"/>
        <w:jc w:val="center"/>
        <w:rPr>
          <w:rFonts w:ascii="Times New Roman" w:hAnsi="Times New Roman" w:cs="Times New Roman"/>
          <w:color w:val="000000"/>
          <w:shd w:fill="FFFFFF" w:val="clear"/>
        </w:rPr>
      </w:pPr>
      <w:r>
        <w:rPr>
          <w:rFonts w:cs="Times New Roman" w:ascii="Times New Roman" w:hAnsi="Times New Roman"/>
          <w:color w:val="000000"/>
          <w:shd w:fill="FFFFFF" w:val="clear"/>
        </w:rPr>
      </w:r>
    </w:p>
    <w:p>
      <w:pPr>
        <w:pStyle w:val="Standard"/>
        <w:jc w:val="center"/>
        <w:rPr>
          <w:rFonts w:ascii="Times New Roman" w:hAnsi="Times New Roman" w:cs="Times New Roman"/>
          <w:color w:val="000000"/>
          <w:shd w:fill="FFFFFF" w:val="clear"/>
        </w:rPr>
      </w:pPr>
      <w:r>
        <w:rPr>
          <w:rFonts w:cs="Times New Roman" w:ascii="Times New Roman" w:hAnsi="Times New Roman"/>
          <w:color w:val="000000"/>
          <w:shd w:fill="FFFFFF" w:val="clear"/>
        </w:rPr>
      </w:r>
    </w:p>
    <w:p>
      <w:pPr>
        <w:pStyle w:val="Standard"/>
        <w:jc w:val="center"/>
        <w:rPr/>
      </w:pPr>
      <w:r>
        <w:rPr>
          <w:rFonts w:eastAsia="Times New Roman" w:cs="Times New Roman" w:ascii="Times New Roman" w:hAnsi="Times New Roman"/>
          <w:b/>
          <w:bCs/>
          <w:color w:val="000000"/>
          <w:shd w:fill="FFFFFF" w:val="clear"/>
          <w:lang w:bidi="ar-SA"/>
        </w:rPr>
        <w:t>LOCAL:</w:t>
      </w:r>
    </w:p>
    <w:p>
      <w:pPr>
        <w:pStyle w:val="Standard"/>
        <w:keepLines/>
        <w:widowControl w:val="false"/>
        <w:tabs>
          <w:tab w:val="clear" w:pos="709"/>
          <w:tab w:val="left" w:pos="288" w:leader="none"/>
          <w:tab w:val="left" w:pos="84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center"/>
        <w:rPr>
          <w:rFonts w:ascii="Times New Roman" w:hAnsi="Times New Roman" w:eastAsia="Times New Roman" w:cs="Times New Roman"/>
          <w:color w:val="000000"/>
          <w:lang w:bidi="ar-SA"/>
        </w:rPr>
      </w:pPr>
      <w:r>
        <w:rPr>
          <w:rFonts w:eastAsia="Times New Roman" w:cs="Times New Roman" w:ascii="Times New Roman" w:hAnsi="Times New Roman"/>
          <w:color w:val="000000"/>
          <w:lang w:bidi="ar-SA"/>
        </w:rPr>
        <w:t>Central de Licitações (Sala de Abertura)</w:t>
      </w:r>
    </w:p>
    <w:p>
      <w:pPr>
        <w:pStyle w:val="Standard"/>
        <w:widowControl w:val="false"/>
        <w:tabs>
          <w:tab w:val="clear" w:pos="709"/>
          <w:tab w:val="left" w:pos="288" w:leader="none"/>
          <w:tab w:val="left" w:pos="84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center"/>
        <w:rPr>
          <w:rFonts w:ascii="Times New Roman" w:hAnsi="Times New Roman" w:eastAsia="Times New Roman" w:cs="Times New Roman"/>
          <w:color w:val="000000"/>
          <w:lang w:bidi="ar-SA"/>
        </w:rPr>
      </w:pPr>
      <w:r>
        <w:rPr>
          <w:rFonts w:eastAsia="Times New Roman" w:cs="Times New Roman" w:ascii="Times New Roman" w:hAnsi="Times New Roman"/>
          <w:color w:val="000000"/>
          <w:lang w:bidi="ar-SA"/>
        </w:rPr>
        <w:t>Centro Administrativo Municipal “Vinícius Ribeiro Lisboa"</w:t>
      </w:r>
    </w:p>
    <w:p>
      <w:pPr>
        <w:pStyle w:val="Standard"/>
        <w:keepLines/>
        <w:widowControl w:val="false"/>
        <w:tabs>
          <w:tab w:val="clear" w:pos="709"/>
          <w:tab w:val="left" w:pos="288" w:leader="none"/>
          <w:tab w:val="left" w:pos="84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center"/>
        <w:rPr>
          <w:rFonts w:ascii="Times New Roman" w:hAnsi="Times New Roman" w:eastAsia="Times New Roman" w:cs="Times New Roman"/>
          <w:color w:val="000000"/>
          <w:lang w:bidi="ar-SA"/>
        </w:rPr>
      </w:pPr>
      <w:r>
        <w:rPr>
          <w:rFonts w:eastAsia="Times New Roman" w:cs="Times New Roman" w:ascii="Times New Roman" w:hAnsi="Times New Roman"/>
          <w:color w:val="000000"/>
          <w:lang w:bidi="ar-SA"/>
        </w:rPr>
        <w:t>Rua Alfredo Chaves, n.º 1.333, Bairro Exposição, CEP 95.020-460</w:t>
      </w:r>
    </w:p>
    <w:p>
      <w:pPr>
        <w:pStyle w:val="Standard"/>
        <w:widowControl w:val="false"/>
        <w:tabs>
          <w:tab w:val="clear" w:pos="709"/>
          <w:tab w:val="left" w:pos="288" w:leader="none"/>
          <w:tab w:val="left" w:pos="84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3"/>
        <w:jc w:val="center"/>
        <w:rPr/>
      </w:pPr>
      <w:r>
        <w:rPr>
          <w:rFonts w:eastAsia="Times New Roman" w:cs="Times New Roman" w:ascii="Times New Roman" w:hAnsi="Times New Roman"/>
          <w:color w:val="000000"/>
          <w:lang w:bidi="ar-SA"/>
        </w:rPr>
        <w:t>Caxias do Sul/RS</w:t>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pPr>
      <w:r>
        <w:rPr>
          <w:rFonts w:eastAsia="Times New Roman" w:cs="Times New Roman" w:ascii="Times New Roman" w:hAnsi="Times New Roman"/>
          <w:b/>
          <w:bCs/>
          <w:color w:val="000000"/>
          <w:shd w:fill="FFFFFF" w:val="clear"/>
          <w:lang w:bidi="ar-SA"/>
        </w:rPr>
        <w:t>CRITÉRIO DE JULGAMENTO:</w:t>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pPr>
      <w:r>
        <w:rPr>
          <w:rFonts w:cs="Times New Roman" w:ascii="Times New Roman" w:hAnsi="Times New Roman"/>
          <w:color w:val="000000"/>
        </w:rPr>
        <w:t>TÉCNICA E PREÇO</w:t>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pPr>
      <w:r>
        <w:rPr>
          <w:rFonts w:eastAsia="Times New Roman" w:cs="Times New Roman" w:ascii="Times New Roman" w:hAnsi="Times New Roman"/>
          <w:b/>
          <w:bCs/>
          <w:color w:val="000000"/>
          <w:shd w:fill="FFFFFF" w:val="clear"/>
          <w:lang w:bidi="ar-SA"/>
        </w:rPr>
        <w:t>MODO DE DISPUTA:</w:t>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t>FECHADO</w:t>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color w:val="000000"/>
          <w:shd w:fill="FFFF00" w:val="clear"/>
        </w:rPr>
      </w:pPr>
      <w:r>
        <w:rPr>
          <w:rFonts w:cs="Times New Roman" w:ascii="Times New Roman" w:hAnsi="Times New Roman"/>
          <w:color w:val="000000"/>
          <w:shd w:fill="FFFF00" w:val="clear"/>
        </w:rPr>
      </w:r>
    </w:p>
    <w:p>
      <w:pPr>
        <w:pStyle w:val="Standard"/>
        <w:jc w:val="center"/>
        <w:rPr>
          <w:rFonts w:ascii="Times New Roman" w:hAnsi="Times New Roman" w:cs="Times New Roman"/>
          <w:color w:val="000000"/>
          <w:shd w:fill="FFFF00" w:val="clear"/>
        </w:rPr>
      </w:pPr>
      <w:r>
        <w:rPr>
          <w:rFonts w:cs="Times New Roman" w:ascii="Times New Roman" w:hAnsi="Times New Roman"/>
          <w:color w:val="000000"/>
          <w:shd w:fill="FFFF00" w:val="clear"/>
        </w:rPr>
      </w:r>
    </w:p>
    <w:p>
      <w:pPr>
        <w:pStyle w:val="ContentsHeading"/>
        <w:tabs>
          <w:tab w:val="clear" w:pos="709"/>
          <w:tab w:val="right" w:pos="8838" w:leader="dot"/>
        </w:tabs>
        <w:rPr>
          <w:rFonts w:ascii="Times New Roman" w:hAnsi="Times New Roman" w:eastAsia="NSimSun" w:cs="Times New Roman"/>
          <w:b w:val="false"/>
          <w:sz w:val="24"/>
          <w:szCs w:val="24"/>
          <w:lang w:val="pt-BR"/>
        </w:rPr>
      </w:pPr>
      <w:r>
        <w:rPr>
          <w:rFonts w:eastAsia="NSimSun" w:cs="Times New Roman" w:ascii="Times New Roman" w:hAnsi="Times New Roman"/>
          <w:b w:val="false"/>
          <w:sz w:val="24"/>
          <w:szCs w:val="24"/>
          <w:lang w:val="pt-BR"/>
        </w:rPr>
      </w:r>
    </w:p>
    <w:p>
      <w:pPr>
        <w:pStyle w:val="Heading1"/>
        <w:rPr/>
      </w:pPr>
      <w:r>
        <w:rPr/>
      </w:r>
    </w:p>
    <w:p>
      <w:pPr>
        <w:pStyle w:val="Standard"/>
        <w:rPr/>
      </w:pPr>
      <w:r>
        <w:rPr/>
      </w:r>
    </w:p>
    <w:p>
      <w:pPr>
        <w:pStyle w:val="Standard"/>
        <w:rPr/>
      </w:pPr>
      <w:r>
        <w:rPr/>
      </w:r>
    </w:p>
    <w:p>
      <w:pPr>
        <w:pStyle w:val="Standard"/>
        <w:rPr/>
      </w:pPr>
      <w:r>
        <w:rPr/>
      </w:r>
    </w:p>
    <w:p>
      <w:pPr>
        <w:pStyle w:val="Standard"/>
        <w:jc w:val="center"/>
        <w:rPr>
          <w:rFonts w:ascii="Times New Roman" w:hAnsi="Times New Roman" w:cs="Times New Roman"/>
          <w:b/>
          <w:bCs/>
        </w:rPr>
      </w:pPr>
      <w:r>
        <w:rPr>
          <w:rFonts w:cs="Times New Roman" w:ascii="Times New Roman" w:hAnsi="Times New Roman"/>
          <w:b/>
          <w:bCs/>
        </w:rPr>
        <w:t>SUMÁRIO</w:t>
      </w:r>
    </w:p>
    <w:p>
      <w:pPr>
        <w:pStyle w:val="Standard"/>
        <w:rPr/>
      </w:pPr>
      <w:r>
        <w:rPr/>
      </w:r>
    </w:p>
    <w:p>
      <w:pPr>
        <w:pStyle w:val="Heading1"/>
        <w:rPr/>
      </w:pPr>
      <w:r>
        <w:rPr/>
      </w:r>
    </w:p>
    <w:sdt>
      <w:sdtPr>
        <w:docPartObj>
          <w:docPartGallery w:val="Table of Contents"/>
          <w:docPartUnique w:val="true"/>
        </w:docPartObj>
      </w:sdtPr>
      <w:sdtContent>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r>
            <w:fldChar w:fldCharType="begin"/>
          </w:r>
          <w:r>
            <w:rPr>
              <w:rStyle w:val="Vnculodendice"/>
              <w:rFonts w:cs="Times New Roman" w:ascii="Times New Roman" w:hAnsi="Times New Roman"/>
            </w:rPr>
            <w:instrText xml:space="preserve"> TOC \o "1-9" \u \h</w:instrText>
          </w:r>
          <w:r>
            <w:rPr>
              <w:rStyle w:val="Vnculodendice"/>
              <w:rFonts w:cs="Times New Roman" w:ascii="Times New Roman" w:hAnsi="Times New Roman"/>
            </w:rPr>
            <w:fldChar w:fldCharType="separate"/>
          </w:r>
          <w:hyperlink w:anchor="_Toc224628430">
            <w:r>
              <w:rPr>
                <w:rStyle w:val="Vnculodendice"/>
                <w:rFonts w:cs="Times New Roman" w:ascii="Times New Roman" w:hAnsi="Times New Roman"/>
              </w:rPr>
              <w:t>1. DA DESCRIÇÃO DO OBJETO</w:t>
            </w:r>
            <w:r>
              <w:rPr>
                <w:webHidden/>
              </w:rPr>
              <w:fldChar w:fldCharType="begin"/>
            </w:r>
            <w:r>
              <w:rPr>
                <w:webHidden/>
              </w:rPr>
              <w:instrText xml:space="preserve">PAGEREF _Toc224628430 \h</w:instrText>
            </w:r>
            <w:r>
              <w:rPr>
                <w:webHidden/>
              </w:rPr>
              <w:fldChar w:fldCharType="separate"/>
            </w:r>
            <w:r>
              <w:rPr>
                <w:rStyle w:val="Vnculodendice"/>
              </w:rPr>
              <w:tab/>
              <w:t>3</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1">
            <w:r>
              <w:rPr>
                <w:rStyle w:val="Vnculodendice"/>
                <w:rFonts w:cs="Times New Roman" w:ascii="Times New Roman" w:hAnsi="Times New Roman"/>
              </w:rPr>
              <w:t>2. DA APRESENTAÇÃO DOS ENVELOPES</w:t>
            </w:r>
            <w:r>
              <w:rPr>
                <w:webHidden/>
              </w:rPr>
              <w:fldChar w:fldCharType="begin"/>
            </w:r>
            <w:r>
              <w:rPr>
                <w:webHidden/>
              </w:rPr>
              <w:instrText xml:space="preserve">PAGEREF _Toc224628431 \h</w:instrText>
            </w:r>
            <w:r>
              <w:rPr>
                <w:webHidden/>
              </w:rPr>
              <w:fldChar w:fldCharType="separate"/>
            </w:r>
            <w:r>
              <w:rPr>
                <w:rStyle w:val="Vnculodendice"/>
              </w:rPr>
              <w:tab/>
              <w:t>3</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2">
            <w:r>
              <w:rPr>
                <w:rStyle w:val="Vnculodendice"/>
                <w:rFonts w:cs="Times New Roman" w:ascii="Times New Roman" w:hAnsi="Times New Roman"/>
              </w:rPr>
              <w:t>3. DAS CONDIÇÕES DE PARTICIPAÇÃO</w:t>
            </w:r>
            <w:r>
              <w:rPr>
                <w:webHidden/>
              </w:rPr>
              <w:fldChar w:fldCharType="begin"/>
            </w:r>
            <w:r>
              <w:rPr>
                <w:webHidden/>
              </w:rPr>
              <w:instrText xml:space="preserve">PAGEREF _Toc224628432 \h</w:instrText>
            </w:r>
            <w:r>
              <w:rPr>
                <w:webHidden/>
              </w:rPr>
              <w:fldChar w:fldCharType="separate"/>
            </w:r>
            <w:r>
              <w:rPr>
                <w:rStyle w:val="Vnculodendice"/>
              </w:rPr>
              <w:tab/>
              <w:t>4</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3">
            <w:r>
              <w:rPr>
                <w:rStyle w:val="Vnculodendice"/>
                <w:rFonts w:cs="Times New Roman" w:ascii="Times New Roman" w:hAnsi="Times New Roman"/>
              </w:rPr>
              <w:t>4. DO CREDENCIAMENTO DO REPRESENTANTE DA(S) PARTICIPANTE(S)</w:t>
            </w:r>
            <w:r>
              <w:rPr>
                <w:webHidden/>
              </w:rPr>
              <w:fldChar w:fldCharType="begin"/>
            </w:r>
            <w:r>
              <w:rPr>
                <w:webHidden/>
              </w:rPr>
              <w:instrText xml:space="preserve">PAGEREF _Toc224628433 \h</w:instrText>
            </w:r>
            <w:r>
              <w:rPr>
                <w:webHidden/>
              </w:rPr>
              <w:fldChar w:fldCharType="separate"/>
            </w:r>
            <w:r>
              <w:rPr>
                <w:rStyle w:val="Vnculodendice"/>
              </w:rPr>
              <w:tab/>
              <w:t>5</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4">
            <w:r>
              <w:rPr>
                <w:rStyle w:val="Vnculodendice"/>
                <w:rFonts w:cs="Times New Roman" w:ascii="Times New Roman" w:hAnsi="Times New Roman"/>
              </w:rPr>
              <w:t>5. DA DOCUMENTAÇÃO - Envelope n.º 1</w:t>
            </w:r>
            <w:r>
              <w:rPr>
                <w:webHidden/>
              </w:rPr>
              <w:fldChar w:fldCharType="begin"/>
            </w:r>
            <w:r>
              <w:rPr>
                <w:webHidden/>
              </w:rPr>
              <w:instrText xml:space="preserve">PAGEREF _Toc224628434 \h</w:instrText>
            </w:r>
            <w:r>
              <w:rPr>
                <w:webHidden/>
              </w:rPr>
              <w:fldChar w:fldCharType="separate"/>
            </w:r>
            <w:r>
              <w:rPr>
                <w:rStyle w:val="Vnculodendice"/>
              </w:rPr>
              <w:tab/>
              <w:t>6</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5">
            <w:r>
              <w:rPr>
                <w:rStyle w:val="Vnculodendice"/>
                <w:rFonts w:cs="Times New Roman" w:ascii="Times New Roman" w:hAnsi="Times New Roman"/>
              </w:rPr>
              <w:t>6. DA PROPOSTA COMERCIAL – Envelope n.º 2</w:t>
            </w:r>
            <w:r>
              <w:rPr>
                <w:webHidden/>
              </w:rPr>
              <w:fldChar w:fldCharType="begin"/>
            </w:r>
            <w:r>
              <w:rPr>
                <w:webHidden/>
              </w:rPr>
              <w:instrText xml:space="preserve">PAGEREF _Toc224628435 \h</w:instrText>
            </w:r>
            <w:r>
              <w:rPr>
                <w:webHidden/>
              </w:rPr>
              <w:fldChar w:fldCharType="separate"/>
            </w:r>
            <w:r>
              <w:rPr>
                <w:rStyle w:val="Vnculodendice"/>
              </w:rPr>
              <w:tab/>
              <w:t>8</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6">
            <w:r>
              <w:rPr>
                <w:rStyle w:val="Vnculodendice"/>
                <w:rFonts w:cs="Times New Roman" w:ascii="Times New Roman" w:hAnsi="Times New Roman"/>
              </w:rPr>
              <w:t>7. DO JULGAMENTO DAS PROPOSTAS TÉCNICA, DE PREÇO E CLASSIFICAÇÃO</w:t>
            </w:r>
            <w:r>
              <w:rPr>
                <w:webHidden/>
              </w:rPr>
              <w:fldChar w:fldCharType="begin"/>
            </w:r>
            <w:r>
              <w:rPr>
                <w:webHidden/>
              </w:rPr>
              <w:instrText xml:space="preserve">PAGEREF _Toc224628436 \h</w:instrText>
            </w:r>
            <w:r>
              <w:rPr>
                <w:webHidden/>
              </w:rPr>
              <w:fldChar w:fldCharType="separate"/>
            </w:r>
            <w:r>
              <w:rPr>
                <w:rStyle w:val="Vnculodendice"/>
              </w:rPr>
              <w:tab/>
              <w:t>9</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7">
            <w:r>
              <w:rPr>
                <w:rStyle w:val="Vnculodendice"/>
                <w:rFonts w:eastAsia="ArialMT" w:cs="Times New Roman" w:ascii="Times New Roman" w:hAnsi="Times New Roman"/>
              </w:rPr>
              <w:t>8</w:t>
            </w:r>
            <w:r>
              <w:rPr>
                <w:rStyle w:val="Vnculodendice"/>
                <w:rFonts w:cs="Times New Roman" w:ascii="Times New Roman" w:hAnsi="Times New Roman"/>
              </w:rPr>
              <w:t>. DA ADJUDICAÇÃO E HOMOLOGAÇÃO</w:t>
            </w:r>
            <w:r>
              <w:rPr>
                <w:webHidden/>
              </w:rPr>
              <w:fldChar w:fldCharType="begin"/>
            </w:r>
            <w:r>
              <w:rPr>
                <w:webHidden/>
              </w:rPr>
              <w:instrText xml:space="preserve">PAGEREF _Toc224628437 \h</w:instrText>
            </w:r>
            <w:r>
              <w:rPr>
                <w:webHidden/>
              </w:rPr>
              <w:fldChar w:fldCharType="separate"/>
            </w:r>
            <w:r>
              <w:rPr>
                <w:rStyle w:val="Vnculodendice"/>
              </w:rPr>
              <w:tab/>
              <w:t>11</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8">
            <w:r>
              <w:rPr>
                <w:rStyle w:val="Vnculodendice"/>
                <w:rFonts w:eastAsia="Arial" w:cs="Times New Roman" w:ascii="Times New Roman" w:hAnsi="Times New Roman"/>
                <w:bCs/>
              </w:rPr>
              <w:t>9. DA ASSINATURA DO CONTRATO E ORDEM DE INÍCIO</w:t>
            </w:r>
            <w:r>
              <w:rPr>
                <w:webHidden/>
              </w:rPr>
              <w:fldChar w:fldCharType="begin"/>
            </w:r>
            <w:r>
              <w:rPr>
                <w:webHidden/>
              </w:rPr>
              <w:instrText xml:space="preserve">PAGEREF _Toc224628438 \h</w:instrText>
            </w:r>
            <w:r>
              <w:rPr>
                <w:webHidden/>
              </w:rPr>
              <w:fldChar w:fldCharType="separate"/>
            </w:r>
            <w:r>
              <w:rPr>
                <w:rStyle w:val="Vnculodendice"/>
              </w:rPr>
              <w:tab/>
              <w:t>11</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39">
            <w:r>
              <w:rPr>
                <w:rStyle w:val="Vnculodendice"/>
                <w:rFonts w:cs="Times New Roman" w:ascii="Times New Roman" w:hAnsi="Times New Roman"/>
              </w:rPr>
              <w:t>10.</w:t>
            </w:r>
            <w:r>
              <w:rPr>
                <w:rStyle w:val="Vnculodendice"/>
                <w:rFonts w:cs="Times New Roman" w:ascii="Times New Roman" w:hAnsi="Times New Roman"/>
                <w:lang w:eastAsia="ar-SA"/>
              </w:rPr>
              <w:t xml:space="preserve"> DA IMPUGNAÇÃO AO EDITAL E DO PEDIDO DE ESCLARECIMENTOS</w:t>
            </w:r>
            <w:r>
              <w:rPr>
                <w:webHidden/>
              </w:rPr>
              <w:fldChar w:fldCharType="begin"/>
            </w:r>
            <w:r>
              <w:rPr>
                <w:webHidden/>
              </w:rPr>
              <w:instrText xml:space="preserve">PAGEREF _Toc224628439 \h</w:instrText>
            </w:r>
            <w:r>
              <w:rPr>
                <w:webHidden/>
              </w:rPr>
              <w:fldChar w:fldCharType="separate"/>
            </w:r>
            <w:r>
              <w:rPr>
                <w:rStyle w:val="Vnculodendice"/>
              </w:rPr>
              <w:tab/>
              <w:t>11</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40">
            <w:r>
              <w:rPr>
                <w:rStyle w:val="Vnculodendice"/>
                <w:rFonts w:cs="Times New Roman" w:ascii="Times New Roman" w:hAnsi="Times New Roman"/>
              </w:rPr>
              <w:t>11. DOS RECURSOS</w:t>
            </w:r>
            <w:r>
              <w:rPr>
                <w:webHidden/>
              </w:rPr>
              <w:fldChar w:fldCharType="begin"/>
            </w:r>
            <w:r>
              <w:rPr>
                <w:webHidden/>
              </w:rPr>
              <w:instrText xml:space="preserve">PAGEREF _Toc224628440 \h</w:instrText>
            </w:r>
            <w:r>
              <w:rPr>
                <w:webHidden/>
              </w:rPr>
              <w:fldChar w:fldCharType="separate"/>
            </w:r>
            <w:r>
              <w:rPr>
                <w:rStyle w:val="Vnculodendice"/>
              </w:rPr>
              <w:tab/>
              <w:t>12</w:t>
            </w:r>
            <w:r>
              <w:rPr>
                <w:webHidden/>
              </w:rPr>
              <w:fldChar w:fldCharType="end"/>
            </w:r>
          </w:hyperlink>
        </w:p>
        <w:p>
          <w:pPr>
            <w:pStyle w:val="TOC1"/>
            <w:tabs>
              <w:tab w:val="clear" w:pos="709"/>
              <w:tab w:val="right" w:pos="9628" w:leader="dot"/>
            </w:tabs>
            <w:rPr>
              <w:rFonts w:ascii="Calibri" w:hAnsi="Calibri" w:eastAsia="" w:cs="" w:asciiTheme="minorHAnsi" w:cstheme="minorBidi" w:eastAsiaTheme="minorEastAsia" w:hAnsiTheme="minorHAnsi"/>
              <w:kern w:val="0"/>
              <w:sz w:val="22"/>
              <w:szCs w:val="22"/>
              <w:lang w:eastAsia="pt-BR" w:bidi="ar-SA"/>
            </w:rPr>
          </w:pPr>
          <w:hyperlink w:anchor="_Toc224628441">
            <w:r>
              <w:rPr>
                <w:rStyle w:val="Vnculodendice"/>
                <w:rFonts w:cs="Times New Roman" w:ascii="Times New Roman" w:hAnsi="Times New Roman"/>
              </w:rPr>
              <w:t>12. DAS DISPOSIÇÕES GERAIS</w:t>
            </w:r>
            <w:r>
              <w:rPr>
                <w:webHidden/>
              </w:rPr>
              <w:fldChar w:fldCharType="begin"/>
            </w:r>
            <w:r>
              <w:rPr>
                <w:webHidden/>
              </w:rPr>
              <w:instrText xml:space="preserve">PAGEREF _Toc224628441 \h</w:instrText>
            </w:r>
            <w:r>
              <w:rPr>
                <w:webHidden/>
              </w:rPr>
              <w:fldChar w:fldCharType="separate"/>
            </w:r>
            <w:r>
              <w:rPr>
                <w:rStyle w:val="Vnculodendice"/>
              </w:rPr>
              <w:tab/>
              <w:t>13</w:t>
            </w:r>
            <w:r>
              <w:rPr>
                <w:webHidden/>
              </w:rPr>
              <w:fldChar w:fldCharType="end"/>
            </w:r>
          </w:hyperlink>
          <w:r>
            <w:rPr>
              <w:rStyle w:val="Vnculodendice"/>
            </w:rPr>
            <w:fldChar w:fldCharType="end"/>
          </w:r>
        </w:p>
      </w:sdtContent>
    </w:sdt>
    <w:p>
      <w:pPr>
        <w:pStyle w:val="ContentsHeading"/>
        <w:suppressLineNumbers/>
        <w:spacing w:before="238" w:after="283"/>
        <w:jc w:val="center"/>
        <w:rPr>
          <w:b/>
          <w:sz w:val="32"/>
          <w:lang w:val="en-US"/>
        </w:rPr>
      </w:pPr>
      <w:r>
        <w:rPr>
          <w:b/>
          <w:sz w:val="32"/>
          <w:lang w:val="en-US"/>
        </w:rPr>
      </w:r>
    </w:p>
    <w:p>
      <w:pPr>
        <w:pStyle w:val="Contents1"/>
        <w:rPr>
          <w:rFonts w:ascii="Times New Roman" w:hAnsi="Times New Roman" w:cs="Times New Roman"/>
          <w:shd w:fill="FFFF00" w:val="clear"/>
        </w:rPr>
      </w:pPr>
      <w:r>
        <w:rPr>
          <w:rFonts w:cs="Times New Roman" w:ascii="Times New Roman" w:hAnsi="Times New Roman"/>
          <w:shd w:fill="FFFF00" w:val="clear"/>
        </w:rPr>
      </w:r>
    </w:p>
    <w:p>
      <w:pPr>
        <w:pStyle w:val="Contents1"/>
        <w:rPr>
          <w:rFonts w:ascii="Times New Roman" w:hAnsi="Times New Roman" w:cs="Times New Roman"/>
          <w:color w:val="000000"/>
          <w:shd w:fill="FFFF00" w:val="clear"/>
        </w:rPr>
      </w:pPr>
      <w:r>
        <w:rPr>
          <w:rFonts w:cs="Times New Roman" w:ascii="Times New Roman" w:hAnsi="Times New Roman"/>
          <w:color w:val="000000"/>
          <w:shd w:fill="FFFF00" w:val="clear"/>
        </w:rPr>
      </w:r>
    </w:p>
    <w:p>
      <w:pPr>
        <w:pStyle w:val="Contents1"/>
        <w:rPr>
          <w:rFonts w:ascii="Times New Roman" w:hAnsi="Times New Roman" w:cs="Times New Roman"/>
          <w:color w:val="000000"/>
          <w:shd w:fill="FFFF00" w:val="clear"/>
        </w:rPr>
      </w:pPr>
      <w:r>
        <w:rPr>
          <w:rFonts w:cs="Times New Roman" w:ascii="Times New Roman" w:hAnsi="Times New Roman"/>
          <w:color w:val="000000"/>
          <w:shd w:fill="FFFF00" w:val="clear"/>
        </w:rPr>
      </w:r>
    </w:p>
    <w:p>
      <w:pPr>
        <w:pStyle w:val="Contents1"/>
        <w:rPr>
          <w:rFonts w:ascii="Times New Roman" w:hAnsi="Times New Roman" w:cs="Times New Roman"/>
          <w:color w:val="000000"/>
          <w:shd w:fill="FFFF00" w:val="clear"/>
        </w:rPr>
      </w:pPr>
      <w:r>
        <w:rPr>
          <w:rFonts w:cs="Times New Roman" w:ascii="Times New Roman" w:hAnsi="Times New Roman"/>
          <w:color w:val="000000"/>
          <w:shd w:fill="FFFF00" w:val="clear"/>
        </w:rPr>
      </w:r>
    </w:p>
    <w:p>
      <w:pPr>
        <w:pStyle w:val="Contents1"/>
        <w:rPr>
          <w:rFonts w:ascii="Times New Roman" w:hAnsi="Times New Roman" w:cs="Times New Roman"/>
          <w:color w:val="000000"/>
          <w:shd w:fill="FFFF00" w:val="clear"/>
        </w:rPr>
      </w:pPr>
      <w:r>
        <w:rPr>
          <w:rFonts w:cs="Times New Roman" w:ascii="Times New Roman" w:hAnsi="Times New Roman"/>
          <w:color w:val="000000"/>
          <w:shd w:fill="FFFF00" w:val="clear"/>
        </w:rPr>
      </w:r>
    </w:p>
    <w:p>
      <w:pPr>
        <w:pStyle w:val="Contents1"/>
        <w:rPr>
          <w:rFonts w:ascii="Times New Roman" w:hAnsi="Times New Roman" w:cs="Times New Roman"/>
          <w:color w:val="000000"/>
        </w:rPr>
      </w:pPr>
      <w:r>
        <w:rPr>
          <w:rFonts w:cs="Times New Roman" w:ascii="Times New Roman" w:hAnsi="Times New Roman"/>
          <w:color w:val="000000"/>
        </w:rPr>
      </w:r>
    </w:p>
    <w:p>
      <w:pPr>
        <w:pStyle w:val="Contents1"/>
        <w:rPr>
          <w:rFonts w:ascii="Times New Roman" w:hAnsi="Times New Roman" w:cs="Times New Roman"/>
          <w:color w:val="000000"/>
        </w:rPr>
      </w:pPr>
      <w:r>
        <w:rPr>
          <w:rFonts w:cs="Times New Roman" w:ascii="Times New Roman" w:hAnsi="Times New Roman"/>
          <w:color w:val="000000"/>
        </w:rPr>
      </w:r>
    </w:p>
    <w:p>
      <w:pPr>
        <w:pStyle w:val="Contents1"/>
        <w:rPr>
          <w:rFonts w:ascii="Times New Roman" w:hAnsi="Times New Roman" w:cs="Times New Roman"/>
          <w:color w:val="000000"/>
        </w:rPr>
      </w:pPr>
      <w:r>
        <w:rPr>
          <w:rFonts w:cs="Times New Roman" w:ascii="Times New Roman" w:hAnsi="Times New Roman"/>
          <w:color w:val="000000"/>
        </w:rPr>
      </w:r>
    </w:p>
    <w:p>
      <w:pPr>
        <w:pStyle w:val="Contents1"/>
        <w:rPr>
          <w:rFonts w:ascii="Times New Roman" w:hAnsi="Times New Roman" w:cs="Times New Roman"/>
          <w:color w:val="000000"/>
        </w:rPr>
      </w:pPr>
      <w:r>
        <w:rPr>
          <w:rFonts w:cs="Times New Roman" w:ascii="Times New Roman" w:hAnsi="Times New Roman"/>
          <w:color w:val="000000"/>
        </w:rPr>
      </w:r>
    </w:p>
    <w:p>
      <w:pPr>
        <w:pStyle w:val="Contents1"/>
        <w:rPr>
          <w:rFonts w:ascii="Times New Roman" w:hAnsi="Times New Roman" w:cs="Times New Roman"/>
          <w:color w:val="000000"/>
        </w:rPr>
      </w:pPr>
      <w:r>
        <w:rPr>
          <w:rFonts w:cs="Times New Roman" w:ascii="Times New Roman" w:hAnsi="Times New Roman"/>
          <w:color w:val="000000"/>
        </w:rPr>
      </w:r>
    </w:p>
    <w:p>
      <w:pPr>
        <w:pStyle w:val="Contents1"/>
        <w:rPr>
          <w:rFonts w:ascii="Times New Roman" w:hAnsi="Times New Roman" w:cs="Times New Roman"/>
          <w:color w:val="000000"/>
        </w:rPr>
      </w:pPr>
      <w:r>
        <w:rPr>
          <w:rFonts w:cs="Times New Roman" w:ascii="Times New Roman" w:hAnsi="Times New Roman"/>
          <w:color w:val="000000"/>
        </w:rPr>
      </w:r>
    </w:p>
    <w:p>
      <w:pPr>
        <w:pStyle w:val="Contents1"/>
        <w:rPr>
          <w:rFonts w:ascii="Times New Roman" w:hAnsi="Times New Roman" w:cs="Times New Roman"/>
          <w:color w:val="000000"/>
        </w:rPr>
      </w:pPr>
      <w:r>
        <w:rPr>
          <w:rFonts w:cs="Times New Roman" w:ascii="Times New Roman" w:hAnsi="Times New Roman"/>
          <w:color w:val="000000"/>
        </w:rPr>
      </w:r>
    </w:p>
    <w:p>
      <w:pPr>
        <w:pStyle w:val="Contents1"/>
        <w:rPr>
          <w:rFonts w:ascii="Times New Roman" w:hAnsi="Times New Roman" w:cs="Times New Roman"/>
          <w:color w:val="000000"/>
        </w:rPr>
      </w:pPr>
      <w:r>
        <w:rPr>
          <w:rFonts w:cs="Times New Roman" w:ascii="Times New Roman" w:hAnsi="Times New Roman"/>
          <w:color w:val="000000"/>
        </w:rPr>
      </w:r>
    </w:p>
    <w:p>
      <w:pPr>
        <w:pStyle w:val="Contents1"/>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t>EDITAL</w:t>
      </w:r>
    </w:p>
    <w:p>
      <w:pPr>
        <w:pStyle w:val="Standard"/>
        <w:jc w:val="center"/>
        <w:rPr>
          <w:rFonts w:ascii="Times New Roman" w:hAnsi="Times New Roman" w:cs="Times New Roman"/>
          <w:b/>
        </w:rPr>
      </w:pPr>
      <w:r>
        <w:rPr>
          <w:rFonts w:cs="Times New Roman" w:ascii="Times New Roman" w:hAnsi="Times New Roman"/>
          <w:b/>
        </w:rPr>
      </w:r>
    </w:p>
    <w:p>
      <w:pPr>
        <w:pStyle w:val="Standard"/>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pPr>
      <w:r>
        <w:rPr>
          <w:rFonts w:cs="Times New Roman" w:ascii="Times New Roman" w:hAnsi="Times New Roman"/>
          <w:b/>
        </w:rPr>
        <w:t xml:space="preserve">CONCORRÊNCIA N.º </w:t>
      </w:r>
      <w:r>
        <w:rPr>
          <w:rFonts w:cs="Times New Roman" w:ascii="Times New Roman" w:hAnsi="Times New Roman"/>
          <w:b/>
          <w:bCs/>
        </w:rPr>
        <w:t>84</w:t>
      </w:r>
      <w:r>
        <w:rPr>
          <w:rFonts w:cs="Times New Roman" w:ascii="Times New Roman" w:hAnsi="Times New Roman"/>
          <w:b/>
        </w:rPr>
        <w:t>-2025</w:t>
      </w:r>
    </w:p>
    <w:p>
      <w:pPr>
        <w:pStyle w:val="Standard"/>
        <w:keepLines/>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rFonts w:ascii="Times New Roman" w:hAnsi="Times New Roman" w:eastAsia="Times New Roman" w:cs="Times New Roman"/>
          <w:b/>
          <w:bCs/>
          <w:shd w:fill="FF9900" w:val="clear"/>
          <w:lang w:bidi="ar-SA"/>
        </w:rPr>
      </w:pPr>
      <w:r>
        <w:rPr>
          <w:rFonts w:eastAsia="Times New Roman" w:cs="Times New Roman" w:ascii="Times New Roman" w:hAnsi="Times New Roman"/>
          <w:b/>
          <w:bCs/>
          <w:shd w:fill="FF9900" w:val="clear"/>
          <w:lang w:bidi="ar-SA"/>
        </w:rPr>
      </w:r>
    </w:p>
    <w:p>
      <w:pPr>
        <w:pStyle w:val="Standard"/>
        <w:keepLines/>
        <w:jc w:val="center"/>
        <w:rPr>
          <w:rFonts w:ascii="Times New Roman" w:hAnsi="Times New Roman" w:cs="Times New Roman"/>
          <w:shd w:fill="FAA61A" w:val="clear"/>
        </w:rPr>
      </w:pPr>
      <w:r>
        <w:rPr>
          <w:rFonts w:cs="Times New Roman" w:ascii="Times New Roman" w:hAnsi="Times New Roman"/>
          <w:shd w:fill="FAA61A" w:val="clear"/>
        </w:rPr>
      </w:r>
    </w:p>
    <w:p>
      <w:pPr>
        <w:pStyle w:val="Standard"/>
        <w:keepLines/>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4"/>
        <w:jc w:val="center"/>
        <w:rPr/>
      </w:pPr>
      <w:r>
        <w:rPr>
          <w:rFonts w:eastAsia="Times New Roman" w:cs="Times New Roman" w:ascii="Times New Roman" w:hAnsi="Times New Roman"/>
          <w:lang w:eastAsia="ar-SA" w:bidi="ar-SA"/>
        </w:rPr>
        <w:t xml:space="preserve">Processo Administrativo Eletrônico – </w:t>
      </w:r>
      <w:r>
        <w:rPr>
          <w:rFonts w:cs="Times New Roman" w:ascii="Times New Roman" w:hAnsi="Times New Roman"/>
        </w:rPr>
        <w:t>PROA n.º 25/8050-0011296-6</w:t>
      </w:r>
    </w:p>
    <w:p>
      <w:pPr>
        <w:pStyle w:val="Standard"/>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eastAsia="Times New Roman" w:cs="Times New Roman"/>
          <w:lang w:eastAsia="ar-SA" w:bidi="ar-SA"/>
        </w:rPr>
      </w:pPr>
      <w:r>
        <w:rPr>
          <w:rFonts w:eastAsia="Times New Roman" w:cs="Times New Roman" w:ascii="Times New Roman" w:hAnsi="Times New Roman"/>
          <w:lang w:eastAsia="ar-SA" w:bidi="ar-SA"/>
        </w:rPr>
      </w:r>
    </w:p>
    <w:p>
      <w:pPr>
        <w:pStyle w:val="Standard"/>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eastAsia="Times New Roman" w:cs="Times New Roman" w:ascii="Times New Roman" w:hAnsi="Times New Roman"/>
          <w:color w:val="000000"/>
          <w:lang w:eastAsia="ar-SA" w:bidi="ar-SA"/>
        </w:rPr>
        <w:t xml:space="preserve">O MUNICÍPIO DE CAXIAS DO SUL, por meio da Central de Licitações – CENLIC, torna público aos interessados que, </w:t>
      </w:r>
      <w:r>
        <w:rPr>
          <w:rFonts w:cs="Times New Roman" w:ascii="Times New Roman" w:hAnsi="Times New Roman"/>
        </w:rPr>
        <w:t>nos termos da Lei federal n.° 8.987, de 13 de fevereiro de 1995 (“Lei das Concessões”); Lei Complementar Municipal n.º 670 de 16 de dezembro de 2021 (“Lei Municipal do Serviço Funerário”); Decreto Municipal n.º 24.134, de 19 de março de 2026 (“Regulamenta a Lei Complementar n.º 670, de 16 de Dezembro de 2021, que dispõe sobre o serviço funerário e sobre os cemitérios localizados no município de Caxias Do Sul”); Lei n.° 14.133, de 01 de abril de 2021 (“Lei de Licitações”); e alterações, bem como demais normas aplicáveis</w:t>
      </w:r>
      <w:r>
        <w:rPr>
          <w:rFonts w:eastAsia="Times New Roman" w:cs="Times New Roman" w:ascii="Times New Roman" w:hAnsi="Times New Roman"/>
          <w:color w:val="000000"/>
          <w:lang w:eastAsia="ar-SA" w:bidi="ar-SA"/>
        </w:rPr>
        <w:t xml:space="preserve">, encontra-se aberta a presente </w:t>
      </w:r>
      <w:r>
        <w:rPr>
          <w:rFonts w:eastAsia="Times New Roman" w:cs="Times New Roman" w:ascii="Times New Roman" w:hAnsi="Times New Roman"/>
          <w:b/>
          <w:bCs/>
          <w:color w:val="000000"/>
          <w:lang w:eastAsia="ar-SA" w:bidi="ar-SA"/>
        </w:rPr>
        <w:t>CONCORRÊNCIA</w:t>
      </w:r>
      <w:r>
        <w:rPr>
          <w:rFonts w:eastAsia="Times New Roman" w:cs="Times New Roman" w:ascii="Times New Roman" w:hAnsi="Times New Roman"/>
          <w:color w:val="000000"/>
          <w:lang w:eastAsia="ar-SA" w:bidi="ar-SA"/>
        </w:rPr>
        <w:t xml:space="preserve">, e que, em </w:t>
      </w:r>
      <w:r>
        <w:rPr>
          <w:rFonts w:eastAsia="Times New Roman" w:cs="Times New Roman" w:ascii="Times New Roman" w:hAnsi="Times New Roman"/>
          <w:color w:val="000000"/>
          <w:lang w:eastAsia="ar-SA" w:bidi="ar-SA"/>
        </w:rPr>
        <w:t>29/05/2026</w:t>
      </w:r>
      <w:r>
        <w:rPr>
          <w:rFonts w:cs="Times New Roman" w:ascii="Times New Roman" w:hAnsi="Times New Roman"/>
        </w:rPr>
        <w:t>,</w:t>
      </w:r>
      <w:r>
        <w:rPr>
          <w:rFonts w:eastAsia="Times New Roman" w:cs="Times New Roman" w:ascii="Times New Roman" w:hAnsi="Times New Roman"/>
          <w:color w:val="000000"/>
          <w:lang w:eastAsia="ar-SA" w:bidi="ar-SA"/>
        </w:rPr>
        <w:t xml:space="preserve"> a Central de Licitações – CENLIC, situada na Rua Alfredo Chaves, n.º 1.333, Bairro Exposição, CEP 95.020-460, Centro Administrativo Municipal "Vinícius Ribeiro Lisboa", em Caxias do Sul/RS, estará recebendo a documentação para </w:t>
      </w:r>
      <w:r>
        <w:rPr>
          <w:rFonts w:eastAsia="Times New Roman" w:cs="Times New Roman" w:ascii="Times New Roman" w:hAnsi="Times New Roman"/>
          <w:lang w:bidi="ar-SA"/>
        </w:rPr>
        <w:t>a concessão dos serviços.</w:t>
      </w:r>
    </w:p>
    <w:p>
      <w:pPr>
        <w:pStyle w:val="Contents1"/>
        <w:spacing w:lineRule="auto" w:line="240"/>
        <w:rPr>
          <w:rFonts w:ascii="Times New Roman" w:hAnsi="Times New Roman" w:cs="Times New Roman"/>
          <w:color w:val="000000"/>
        </w:rPr>
      </w:pPr>
      <w:r>
        <w:rPr>
          <w:rFonts w:cs="Times New Roman" w:ascii="Times New Roman" w:hAnsi="Times New Roman"/>
          <w:color w:val="000000"/>
        </w:rPr>
      </w:r>
    </w:p>
    <w:p>
      <w:pPr>
        <w:pStyle w:val="Heading1"/>
        <w:rPr>
          <w:rFonts w:ascii="Times New Roman" w:hAnsi="Times New Roman" w:cs="Times New Roman"/>
          <w:sz w:val="24"/>
        </w:rPr>
      </w:pPr>
      <w:bookmarkStart w:id="0" w:name="__RefHeading___Toc8911_1284342805"/>
      <w:bookmarkStart w:id="1" w:name="_Toc224628430"/>
      <w:bookmarkStart w:id="2" w:name="_Toc193803141"/>
      <w:bookmarkStart w:id="3" w:name="_Toc220503767"/>
      <w:bookmarkEnd w:id="0"/>
      <w:r>
        <w:rPr>
          <w:rFonts w:cs="Times New Roman" w:ascii="Times New Roman" w:hAnsi="Times New Roman"/>
          <w:sz w:val="24"/>
        </w:rPr>
        <w:t>1. DA DESCRIÇÃO DO OBJETO</w:t>
      </w:r>
      <w:bookmarkEnd w:id="1"/>
      <w:bookmarkEnd w:id="2"/>
      <w:bookmarkEnd w:id="3"/>
    </w:p>
    <w:p>
      <w:pPr>
        <w:pStyle w:val="Standard"/>
        <w:keepLines/>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t xml:space="preserve"> </w:t>
      </w:r>
    </w:p>
    <w:p>
      <w:pPr>
        <w:pStyle w:val="Standard"/>
        <w:keepLines/>
        <w:tabs>
          <w:tab w:val="clear" w:pos="709"/>
          <w:tab w:val="left" w:pos="288" w:leader="none"/>
          <w:tab w:val="left" w:pos="86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cs="Times New Roman" w:ascii="Times New Roman" w:hAnsi="Times New Roman"/>
          <w:b/>
          <w:bCs/>
        </w:rPr>
        <w:t>1.1.</w:t>
      </w:r>
      <w:r>
        <w:rPr>
          <w:rFonts w:cs="Times New Roman" w:ascii="Times New Roman" w:hAnsi="Times New Roman"/>
        </w:rPr>
        <w:t xml:space="preserve"> </w:t>
      </w:r>
      <w:r>
        <w:rPr>
          <w:rFonts w:eastAsia="Times New Roman" w:cs="Times New Roman" w:ascii="Times New Roman" w:hAnsi="Times New Roman"/>
          <w:color w:val="000000"/>
          <w:lang w:bidi="ar-SA"/>
        </w:rPr>
        <w:t xml:space="preserve">O objeto do presente Edital é </w:t>
      </w:r>
      <w:r>
        <w:rPr>
          <w:rFonts w:eastAsia="Times New Roman" w:cs="Times New Roman" w:ascii="Times New Roman" w:hAnsi="Times New Roman"/>
          <w:lang w:bidi="ar-SA"/>
        </w:rPr>
        <w:t xml:space="preserve">a concessão dos serviços funerários para </w:t>
      </w:r>
      <w:bookmarkStart w:id="4" w:name="_Hlk220569054"/>
      <w:r>
        <w:rPr>
          <w:rFonts w:eastAsia="Times New Roman" w:cs="Times New Roman" w:ascii="Times New Roman" w:hAnsi="Times New Roman"/>
          <w:lang w:bidi="ar-SA"/>
        </w:rPr>
        <w:t xml:space="preserve">até quatro empresas </w:t>
      </w:r>
      <w:bookmarkEnd w:id="4"/>
      <w:r>
        <w:rPr>
          <w:rFonts w:eastAsia="Times New Roman" w:cs="Times New Roman" w:ascii="Times New Roman" w:hAnsi="Times New Roman"/>
          <w:lang w:bidi="ar-SA"/>
        </w:rPr>
        <w:t xml:space="preserve"> interessadas que cumpram as </w:t>
      </w:r>
      <w:r>
        <w:rPr>
          <w:rFonts w:eastAsia="Times New Roman" w:cs="Times New Roman" w:ascii="Times New Roman" w:hAnsi="Times New Roman"/>
          <w:color w:val="00000A"/>
          <w:lang w:bidi="ar-SA"/>
        </w:rPr>
        <w:t xml:space="preserve">condições e exigências estabelecidas </w:t>
      </w:r>
      <w:r>
        <w:rPr>
          <w:rFonts w:eastAsia="Times New Roman" w:cs="Times New Roman" w:ascii="Times New Roman" w:hAnsi="Times New Roman"/>
          <w:lang w:bidi="ar-SA"/>
        </w:rPr>
        <w:t xml:space="preserve">no Termo de Referência, no âmbito do Município de Caxias do Sul, mediante o pagamento de outorga onerosa fixa </w:t>
      </w:r>
      <w:r>
        <w:rPr>
          <w:rFonts w:eastAsia="Times New Roman" w:cs="Times New Roman" w:ascii="Times New Roman" w:hAnsi="Times New Roman"/>
          <w:color w:val="00000A"/>
          <w:lang w:bidi="ar-SA"/>
        </w:rPr>
        <w:t>e a contraprestação gratuita dos serviços funerários para os casos previstos na Lei</w:t>
      </w:r>
      <w:r>
        <w:rPr>
          <w:rFonts w:eastAsia="Times New Roman" w:cs="Times New Roman" w:ascii="Times New Roman" w:hAnsi="Times New Roman"/>
          <w:color w:val="000000"/>
          <w:lang w:bidi="ar-SA"/>
        </w:rPr>
        <w:t>, conforme condições e exigências estabelecidas neste Edital e seus Anexos.</w:t>
      </w:r>
    </w:p>
    <w:p>
      <w:pPr>
        <w:pStyle w:val="Standard"/>
        <w:tabs>
          <w:tab w:val="clear" w:pos="709"/>
          <w:tab w:val="left" w:pos="288" w:leader="none"/>
          <w:tab w:val="left" w:pos="86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cs="Times New Roman"/>
          <w:strike/>
        </w:rPr>
      </w:pPr>
      <w:r>
        <w:rPr>
          <w:rFonts w:cs="Times New Roman" w:ascii="Times New Roman" w:hAnsi="Times New Roman"/>
          <w:strike/>
        </w:rPr>
      </w:r>
    </w:p>
    <w:p>
      <w:pPr>
        <w:pStyle w:val="Standard"/>
        <w:tabs>
          <w:tab w:val="clear" w:pos="709"/>
          <w:tab w:val="left" w:pos="288" w:leader="none"/>
          <w:tab w:val="left" w:pos="86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Times New Roman" w:cs="Times New Roman" w:ascii="Times New Roman" w:hAnsi="Times New Roman"/>
          <w:b/>
          <w:bCs/>
          <w:color w:val="000000"/>
          <w:lang w:bidi="ar-SA"/>
        </w:rPr>
        <w:t xml:space="preserve">1.2. </w:t>
      </w:r>
      <w:r>
        <w:rPr>
          <w:rFonts w:eastAsia="Times New Roman" w:cs="Times New Roman" w:ascii="Times New Roman" w:hAnsi="Times New Roman"/>
          <w:color w:val="000000"/>
          <w:lang w:bidi="ar-SA"/>
        </w:rPr>
        <w:t>A forma como o procedimento está dividido pode ser verificada no Anexo I do Termo de Referência deste Edital.</w:t>
      </w:r>
    </w:p>
    <w:p>
      <w:pPr>
        <w:pStyle w:val="Contents1"/>
        <w:spacing w:lineRule="auto" w:line="240"/>
        <w:rPr>
          <w:rFonts w:ascii="Times New Roman" w:hAnsi="Times New Roman" w:cs="Times New Roman"/>
          <w:b/>
          <w:bCs/>
        </w:rPr>
      </w:pPr>
      <w:r>
        <w:rPr>
          <w:rFonts w:cs="Times New Roman" w:ascii="Times New Roman" w:hAnsi="Times New Roman"/>
          <w:b/>
          <w:bCs/>
        </w:rPr>
      </w:r>
    </w:p>
    <w:p>
      <w:pPr>
        <w:pStyle w:val="Heading1"/>
        <w:rPr/>
      </w:pPr>
      <w:bookmarkStart w:id="5" w:name="__RefHeading___Toc49497_1822919798"/>
      <w:bookmarkStart w:id="6" w:name="_Toc224628431"/>
      <w:bookmarkStart w:id="7" w:name="_Toc220503768"/>
      <w:bookmarkStart w:id="8" w:name="_Toc193803142"/>
      <w:bookmarkEnd w:id="5"/>
      <w:r>
        <w:rPr>
          <w:rFonts w:cs="Times New Roman" w:ascii="Times New Roman" w:hAnsi="Times New Roman"/>
          <w:sz w:val="24"/>
        </w:rPr>
        <w:t>2. DA APRESENTAÇÃO DOS ENVELOPE</w:t>
      </w:r>
      <w:bookmarkEnd w:id="8"/>
      <w:r>
        <w:rPr>
          <w:rFonts w:cs="Times New Roman" w:ascii="Times New Roman" w:hAnsi="Times New Roman"/>
          <w:sz w:val="24"/>
        </w:rPr>
        <w:t>S</w:t>
      </w:r>
      <w:bookmarkEnd w:id="6"/>
      <w:bookmarkEnd w:id="7"/>
    </w:p>
    <w:p>
      <w:pPr>
        <w:pStyle w:val="WW-Corpodetexto31"/>
        <w:keepLines/>
        <w:widowControl w:val="false"/>
        <w:rPr>
          <w:rFonts w:ascii="Times New Roman" w:hAnsi="Times New Roman" w:cs="Times New Roman"/>
          <w:sz w:val="24"/>
        </w:rPr>
      </w:pPr>
      <w:r>
        <w:rPr>
          <w:rFonts w:cs="Times New Roman" w:ascii="Times New Roman" w:hAnsi="Times New Roman"/>
          <w:sz w:val="24"/>
        </w:rPr>
      </w:r>
    </w:p>
    <w:p>
      <w:pPr>
        <w:pStyle w:val="Standard"/>
        <w:keepLines/>
        <w:widowControl w:val="false"/>
        <w:tabs>
          <w:tab w:val="clear" w:pos="709"/>
          <w:tab w:val="left" w:pos="288" w:leader="none"/>
          <w:tab w:val="left" w:pos="86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cs="Times New Roman" w:ascii="Times New Roman" w:hAnsi="Times New Roman"/>
          <w:b/>
          <w:bCs/>
        </w:rPr>
        <w:t>2.1.</w:t>
      </w:r>
      <w:r>
        <w:rPr>
          <w:rFonts w:cs="Times New Roman" w:ascii="Times New Roman" w:hAnsi="Times New Roman"/>
        </w:rPr>
        <w:t xml:space="preserve"> Deverão ser entregues, na Central de Licitações – CENLIC, até a data, horário e endereço referidos, 2 (dois) envelopes lacrados, de acordo com as exigências do Termo de Referência e com as seguintes indicações externas:</w:t>
      </w:r>
    </w:p>
    <w:p>
      <w:pPr>
        <w:pStyle w:val="Standard"/>
        <w:widowControl w:val="false"/>
        <w:tabs>
          <w:tab w:val="clear" w:pos="709"/>
          <w:tab w:val="left" w:pos="288" w:leader="none"/>
          <w:tab w:val="left" w:pos="86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BodyText3"/>
        <w:keepLines/>
        <w:widowControl w:val="false"/>
        <w:rPr>
          <w:rFonts w:ascii="Times New Roman" w:hAnsi="Times New Roman" w:cs="Times New Roman"/>
          <w:sz w:val="24"/>
        </w:rPr>
      </w:pPr>
      <w:r>
        <w:rPr>
          <w:rFonts w:cs="Times New Roman" w:ascii="Times New Roman" w:hAnsi="Times New Roman"/>
          <w:sz w:val="24"/>
        </w:rPr>
        <w:t>Ao Município de Caxias do Sul</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t>Central de Licitações – CENLIC</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eastAsia="Times New Roman" w:cs="Times New Roman" w:ascii="Times New Roman" w:hAnsi="Times New Roman"/>
          <w:b/>
          <w:color w:val="000000"/>
          <w:lang w:bidi="ar-SA"/>
        </w:rPr>
        <w:t>Concorrência</w:t>
      </w:r>
      <w:r>
        <w:rPr>
          <w:rFonts w:cs="Times New Roman" w:ascii="Times New Roman" w:hAnsi="Times New Roman"/>
          <w:b/>
        </w:rPr>
        <w:t xml:space="preserve"> n.º </w:t>
      </w:r>
      <w:r>
        <w:rPr>
          <w:rFonts w:cs="Times New Roman" w:ascii="Times New Roman" w:hAnsi="Times New Roman"/>
          <w:b/>
        </w:rPr>
        <w:t>84</w:t>
      </w:r>
      <w:r>
        <w:rPr>
          <w:rFonts w:cs="Times New Roman" w:ascii="Times New Roman" w:hAnsi="Times New Roman"/>
          <w:b/>
        </w:rPr>
        <w:t>- 202</w:t>
      </w:r>
      <w:r>
        <w:rPr>
          <w:rFonts w:cs="Times New Roman" w:ascii="Times New Roman" w:hAnsi="Times New Roman"/>
          <w:b/>
        </w:rPr>
        <w:t>6</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b/>
        </w:rPr>
      </w:pPr>
      <w:r>
        <w:rPr>
          <w:rFonts w:cs="Times New Roman" w:ascii="Times New Roman" w:hAnsi="Times New Roman"/>
          <w:b/>
        </w:rPr>
        <w:t>Envelope n.º 1 – DOCUMENTAÇÃO</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t>Participante: (denominação social completa da participante e n.º do CNPJ-MF)</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t>Abertura: (dia, mês, ano e horário)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BodyText3"/>
        <w:keepLines/>
        <w:widowControl w:val="false"/>
        <w:rPr>
          <w:rFonts w:ascii="Times New Roman" w:hAnsi="Times New Roman" w:cs="Times New Roman"/>
          <w:sz w:val="24"/>
        </w:rPr>
      </w:pPr>
      <w:r>
        <w:rPr>
          <w:rFonts w:cs="Times New Roman" w:ascii="Times New Roman" w:hAnsi="Times New Roman"/>
          <w:sz w:val="24"/>
        </w:rPr>
        <w:t>Ao Município de Caxias do Sul</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t>Central de Licitações – CENLIC</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eastAsia="Times New Roman" w:cs="Times New Roman" w:ascii="Times New Roman" w:hAnsi="Times New Roman"/>
          <w:b/>
          <w:color w:val="000000"/>
          <w:lang w:bidi="ar-SA"/>
        </w:rPr>
        <w:t>Concorrência</w:t>
      </w:r>
      <w:r>
        <w:rPr>
          <w:rFonts w:cs="Times New Roman" w:ascii="Times New Roman" w:hAnsi="Times New Roman"/>
          <w:b/>
        </w:rPr>
        <w:t xml:space="preserve"> n.º </w:t>
      </w:r>
      <w:r>
        <w:rPr>
          <w:rFonts w:cs="Times New Roman" w:ascii="Times New Roman" w:hAnsi="Times New Roman"/>
          <w:b/>
        </w:rPr>
        <w:t>84</w:t>
      </w:r>
      <w:r>
        <w:rPr>
          <w:rFonts w:cs="Times New Roman" w:ascii="Times New Roman" w:hAnsi="Times New Roman"/>
          <w:b/>
        </w:rPr>
        <w:t>- 2026</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cs="Times New Roman" w:ascii="Times New Roman" w:hAnsi="Times New Roman"/>
          <w:b/>
        </w:rPr>
        <w:t>Envelope n.º 2 – PROPOSTA COMERCIAL</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t>Participante: (denominação social completa da participante e n.º do CNPJ-MF)</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t>Abertura: (dia, mês, ano e horário)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Textbody"/>
        <w:widowControl w:val="false"/>
        <w:tabs>
          <w:tab w:val="clear" w:pos="709"/>
          <w:tab w:val="left" w:pos="571" w:leader="none"/>
          <w:tab w:val="left" w:pos="967"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spacing w:lineRule="auto" w:line="240" w:before="0" w:after="0"/>
        <w:ind w:left="283"/>
        <w:jc w:val="both"/>
        <w:textAlignment w:val="top"/>
        <w:rPr>
          <w:rFonts w:ascii="Times New Roman" w:hAnsi="Times New Roman" w:cs="Times New Roman"/>
        </w:rPr>
      </w:pPr>
      <w:r>
        <w:rPr>
          <w:rFonts w:cs="Times New Roman" w:ascii="Times New Roman" w:hAnsi="Times New Roman"/>
        </w:rPr>
        <w:t>2.1.2. O(s) envelope(s) que não for(em) entregue(s) nas condições acima estipuladas não gerará(ão) efeitos, ficando o Município isento de qualquer responsabilidade sobre o não recebimento do(s) mesmo(s).</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Heading1"/>
        <w:rPr>
          <w:rFonts w:ascii="Times New Roman" w:hAnsi="Times New Roman" w:cs="Times New Roman"/>
          <w:sz w:val="24"/>
        </w:rPr>
      </w:pPr>
      <w:bookmarkStart w:id="9" w:name="__RefHeading___Toc6450_3060003715"/>
      <w:bookmarkStart w:id="10" w:name="_Toc224628432"/>
      <w:bookmarkStart w:id="11" w:name="_Toc193803143"/>
      <w:bookmarkStart w:id="12" w:name="_Toc220503769"/>
      <w:bookmarkEnd w:id="9"/>
      <w:r>
        <w:rPr>
          <w:rFonts w:cs="Times New Roman" w:ascii="Times New Roman" w:hAnsi="Times New Roman"/>
          <w:sz w:val="24"/>
        </w:rPr>
        <w:t>3. DAS CONDIÇÕES DE PARTICIPAÇÃO</w:t>
      </w:r>
      <w:bookmarkEnd w:id="10"/>
      <w:bookmarkEnd w:id="11"/>
      <w:bookmarkEnd w:id="12"/>
    </w:p>
    <w:p>
      <w:pPr>
        <w:pStyle w:val="Standard"/>
        <w:tabs>
          <w:tab w:val="clear" w:pos="709"/>
          <w:tab w:val="left" w:pos="571" w:leader="none"/>
          <w:tab w:val="left" w:pos="129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eastAsia="Times New Roman" w:cs="Times New Roman"/>
          <w:b/>
          <w:lang w:bidi="ar-SA"/>
        </w:rPr>
      </w:pPr>
      <w:r>
        <w:rPr>
          <w:rFonts w:eastAsia="Times New Roman" w:cs="Times New Roman" w:ascii="Times New Roman" w:hAnsi="Times New Roman"/>
          <w:b/>
          <w:lang w:bidi="ar-SA"/>
        </w:rPr>
      </w:r>
    </w:p>
    <w:p>
      <w:pPr>
        <w:pStyle w:val="Standard"/>
        <w:jc w:val="both"/>
        <w:textAlignment w:val="top"/>
        <w:rPr/>
      </w:pPr>
      <w:r>
        <w:rPr>
          <w:rFonts w:cs="Times New Roman" w:ascii="Times New Roman" w:hAnsi="Times New Roman"/>
          <w:b/>
        </w:rPr>
        <w:t xml:space="preserve">3.1. </w:t>
      </w:r>
      <w:r>
        <w:rPr>
          <w:rFonts w:cs="Times New Roman" w:ascii="Times New Roman" w:hAnsi="Times New Roman"/>
        </w:rPr>
        <w:t>Poderão participar deste certame a(s) empresas(s):</w:t>
      </w:r>
    </w:p>
    <w:p>
      <w:pPr>
        <w:pStyle w:val="Standard"/>
        <w:ind w:left="567"/>
        <w:jc w:val="both"/>
        <w:rPr>
          <w:rFonts w:ascii="Times New Roman" w:hAnsi="Times New Roman" w:cs="Times New Roman"/>
        </w:rPr>
      </w:pPr>
      <w:r>
        <w:rPr>
          <w:rFonts w:cs="Times New Roman" w:ascii="Times New Roman" w:hAnsi="Times New Roman"/>
        </w:rPr>
      </w:r>
    </w:p>
    <w:p>
      <w:pPr>
        <w:pStyle w:val="Standard"/>
        <w:ind w:left="283"/>
        <w:jc w:val="both"/>
        <w:textAlignment w:val="top"/>
        <w:rPr/>
      </w:pPr>
      <w:r>
        <w:rPr>
          <w:rFonts w:cs="Times New Roman" w:ascii="Times New Roman" w:hAnsi="Times New Roman"/>
          <w:b/>
          <w:bCs/>
        </w:rPr>
        <w:t>a)</w:t>
      </w:r>
      <w:r>
        <w:rPr>
          <w:rFonts w:eastAsia="Times New Roman" w:cs="Times New Roman" w:ascii="Times New Roman" w:hAnsi="Times New Roman"/>
          <w:lang w:bidi="ar-SA"/>
        </w:rPr>
        <w:t xml:space="preserve"> cujo ramo de atividade seja compatível com o objeto desta concessão;</w:t>
      </w:r>
    </w:p>
    <w:p>
      <w:pPr>
        <w:pStyle w:val="Standard"/>
        <w:ind w:left="283"/>
        <w:jc w:val="both"/>
        <w:textAlignment w:val="top"/>
        <w:rPr>
          <w:rFonts w:ascii="Times New Roman" w:hAnsi="Times New Roman" w:cs="Times New Roman"/>
        </w:rPr>
      </w:pPr>
      <w:r>
        <w:rPr>
          <w:rFonts w:cs="Times New Roman" w:ascii="Times New Roman" w:hAnsi="Times New Roman"/>
        </w:rPr>
      </w:r>
    </w:p>
    <w:p>
      <w:pPr>
        <w:pStyle w:val="Standard"/>
        <w:ind w:left="283"/>
        <w:jc w:val="both"/>
        <w:textAlignment w:val="top"/>
        <w:rPr/>
      </w:pPr>
      <w:r>
        <w:rPr>
          <w:rFonts w:cs="Times New Roman" w:ascii="Times New Roman" w:hAnsi="Times New Roman"/>
          <w:b/>
          <w:bCs/>
        </w:rPr>
        <w:t>b)</w:t>
      </w:r>
      <w:r>
        <w:rPr>
          <w:rFonts w:cs="Times New Roman" w:ascii="Times New Roman" w:hAnsi="Times New Roman"/>
        </w:rPr>
        <w:t xml:space="preserve"> que atendam todas às condições deste Edital e seus anexos.</w:t>
      </w:r>
    </w:p>
    <w:p>
      <w:pPr>
        <w:pStyle w:val="Standard"/>
        <w:ind w:left="567"/>
        <w:jc w:val="both"/>
        <w:textAlignment w:val="top"/>
        <w:rPr>
          <w:rFonts w:ascii="Times New Roman" w:hAnsi="Times New Roman" w:cs="Times New Roman"/>
          <w:shd w:fill="FFFF99" w:val="clear"/>
        </w:rPr>
      </w:pPr>
      <w:r>
        <w:rPr>
          <w:rFonts w:cs="Times New Roman" w:ascii="Times New Roman" w:hAnsi="Times New Roman"/>
          <w:shd w:fill="FFFF99" w:val="clear"/>
        </w:rPr>
      </w:r>
    </w:p>
    <w:p>
      <w:pPr>
        <w:pStyle w:val="Standard"/>
        <w:jc w:val="both"/>
        <w:textAlignment w:val="top"/>
        <w:rPr/>
      </w:pPr>
      <w:r>
        <w:rPr>
          <w:rFonts w:cs="Times New Roman" w:ascii="Times New Roman" w:hAnsi="Times New Roman"/>
          <w:b/>
          <w:bCs/>
        </w:rPr>
        <w:t>3.2.</w:t>
      </w:r>
      <w:r>
        <w:rPr>
          <w:rFonts w:cs="Times New Roman" w:ascii="Times New Roman" w:hAnsi="Times New Roman"/>
        </w:rPr>
        <w:t xml:space="preserve"> Será concedido tratamento para as microempresas e empresas de pequeno porte e, quando for o caso, as equiparadas, de acordo e nos limites previstos na Lei Complementar n.º 123, de 2006.</w:t>
      </w:r>
    </w:p>
    <w:p>
      <w:pPr>
        <w:pStyle w:val="Standard"/>
        <w:ind w:left="283"/>
        <w:jc w:val="both"/>
        <w:textAlignment w:val="top"/>
        <w:rPr>
          <w:rFonts w:ascii="Times New Roman" w:hAnsi="Times New Roman" w:cs="Times New Roman"/>
          <w:b/>
        </w:rPr>
      </w:pPr>
      <w:r>
        <w:rPr>
          <w:rFonts w:cs="Times New Roman" w:ascii="Times New Roman" w:hAnsi="Times New Roman"/>
          <w:b/>
        </w:rPr>
      </w:r>
    </w:p>
    <w:p>
      <w:pPr>
        <w:pStyle w:val="Standard"/>
        <w:keepLines/>
        <w:jc w:val="both"/>
        <w:textAlignment w:val="top"/>
        <w:rPr/>
      </w:pPr>
      <w:r>
        <w:rPr>
          <w:rFonts w:cs="Times New Roman" w:ascii="Times New Roman" w:hAnsi="Times New Roman"/>
          <w:b/>
        </w:rPr>
        <w:t xml:space="preserve">3.3. </w:t>
      </w:r>
      <w:r>
        <w:rPr>
          <w:rFonts w:cs="Times New Roman" w:ascii="Times New Roman" w:hAnsi="Times New Roman"/>
        </w:rPr>
        <w:t>Não poderão participar desta contratação a(s) empresas(s):</w:t>
      </w:r>
    </w:p>
    <w:p>
      <w:pPr>
        <w:pStyle w:val="Standard"/>
        <w:keepLines/>
        <w:ind w:left="283"/>
        <w:jc w:val="both"/>
        <w:rPr>
          <w:rFonts w:ascii="Times New Roman" w:hAnsi="Times New Roman" w:cs="Times New Roman"/>
        </w:rPr>
      </w:pPr>
      <w:r>
        <w:rPr>
          <w:rFonts w:cs="Times New Roman" w:ascii="Times New Roman" w:hAnsi="Times New Roman"/>
        </w:rPr>
      </w:r>
    </w:p>
    <w:p>
      <w:pPr>
        <w:pStyle w:val="Standard"/>
        <w:keepLines/>
        <w:ind w:left="283"/>
        <w:jc w:val="both"/>
        <w:textAlignment w:val="top"/>
        <w:rPr/>
      </w:pPr>
      <w:r>
        <w:rPr>
          <w:rFonts w:cs="Times New Roman" w:ascii="Times New Roman" w:hAnsi="Times New Roman"/>
          <w:b/>
          <w:bCs/>
        </w:rPr>
        <w:t xml:space="preserve">a) </w:t>
      </w:r>
      <w:r>
        <w:rPr>
          <w:rFonts w:cs="Times New Roman" w:ascii="Times New Roman" w:hAnsi="Times New Roman"/>
        </w:rPr>
        <w:t>proibidas de participar de licitações e celebrar contratos administrativos, na forma da legislação vigente;</w:t>
      </w:r>
    </w:p>
    <w:p>
      <w:pPr>
        <w:pStyle w:val="Standard"/>
        <w:ind w:left="283"/>
        <w:jc w:val="both"/>
        <w:textAlignment w:val="top"/>
        <w:rPr>
          <w:rFonts w:ascii="Times New Roman" w:hAnsi="Times New Roman" w:cs="Times New Roman"/>
        </w:rPr>
      </w:pPr>
      <w:r>
        <w:rPr>
          <w:rFonts w:cs="Times New Roman" w:ascii="Times New Roman" w:hAnsi="Times New Roman"/>
        </w:rPr>
      </w:r>
    </w:p>
    <w:p>
      <w:pPr>
        <w:pStyle w:val="Standard"/>
        <w:keepLines/>
        <w:widowControl w:val="false"/>
        <w:ind w:left="510"/>
        <w:jc w:val="both"/>
        <w:textAlignment w:val="top"/>
        <w:rPr/>
      </w:pPr>
      <w:r>
        <w:rPr>
          <w:rFonts w:cs="Times New Roman" w:ascii="Times New Roman" w:hAnsi="Times New Roman"/>
          <w:b/>
          <w:bCs/>
        </w:rPr>
        <w:t>a.1)</w:t>
      </w:r>
      <w:r>
        <w:rPr>
          <w:rFonts w:cs="Times New Roman" w:ascii="Times New Roman" w:hAnsi="Times New Roman"/>
        </w:rPr>
        <w:t xml:space="preserve"> o Município interpretará o disposto na alínea “a’ deste subitem, de acordo com a orientação Normativa n.º 78/2023 da Advocacia Geral da União.</w:t>
      </w:r>
    </w:p>
    <w:p>
      <w:pPr>
        <w:pStyle w:val="Standard"/>
        <w:keepLines/>
        <w:ind w:left="283"/>
        <w:jc w:val="both"/>
        <w:rPr>
          <w:rFonts w:ascii="Times New Roman" w:hAnsi="Times New Roman" w:cs="Times New Roman"/>
        </w:rPr>
      </w:pPr>
      <w:r>
        <w:rPr>
          <w:rFonts w:cs="Times New Roman" w:ascii="Times New Roman" w:hAnsi="Times New Roman"/>
        </w:rPr>
      </w:r>
    </w:p>
    <w:p>
      <w:pPr>
        <w:pStyle w:val="Standard"/>
        <w:keepLines/>
        <w:ind w:left="283"/>
        <w:jc w:val="both"/>
        <w:textAlignment w:val="top"/>
        <w:rPr/>
      </w:pPr>
      <w:r>
        <w:rPr>
          <w:rFonts w:cs="Times New Roman" w:ascii="Times New Roman" w:hAnsi="Times New Roman"/>
          <w:b/>
          <w:bCs/>
        </w:rPr>
        <w:t>b)</w:t>
      </w:r>
      <w:r>
        <w:rPr>
          <w:rFonts w:cs="Times New Roman" w:ascii="Times New Roman" w:hAnsi="Times New Roman"/>
        </w:rPr>
        <w:t xml:space="preserve"> que não atendam às condições deste Edital e seus Anexos;</w:t>
      </w:r>
    </w:p>
    <w:p>
      <w:pPr>
        <w:pStyle w:val="Standard"/>
        <w:keepLines/>
        <w:ind w:left="283"/>
        <w:jc w:val="both"/>
        <w:rPr>
          <w:rFonts w:ascii="Times New Roman" w:hAnsi="Times New Roman" w:cs="Times New Roman"/>
        </w:rPr>
      </w:pPr>
      <w:r>
        <w:rPr>
          <w:rFonts w:cs="Times New Roman" w:ascii="Times New Roman" w:hAnsi="Times New Roman"/>
        </w:rPr>
      </w:r>
    </w:p>
    <w:p>
      <w:pPr>
        <w:pStyle w:val="Standard"/>
        <w:keepLines/>
        <w:ind w:left="283"/>
        <w:jc w:val="both"/>
        <w:textAlignment w:val="top"/>
        <w:rPr/>
      </w:pPr>
      <w:r>
        <w:rPr>
          <w:rFonts w:cs="Times New Roman" w:ascii="Times New Roman" w:hAnsi="Times New Roman"/>
          <w:b/>
          <w:bCs/>
        </w:rPr>
        <w:t xml:space="preserve">c) </w:t>
      </w:r>
      <w:r>
        <w:rPr>
          <w:rFonts w:cs="Times New Roman" w:ascii="Times New Roman" w:hAnsi="Times New Roman"/>
        </w:rPr>
        <w:t>estrange</w:t>
      </w:r>
      <w:r>
        <w:rPr>
          <w:rFonts w:cs="Times New Roman" w:ascii="Times New Roman" w:hAnsi="Times New Roman"/>
          <w:shd w:fill="FFFFFF" w:val="clear"/>
        </w:rPr>
        <w:t>iros q</w:t>
      </w:r>
      <w:r>
        <w:rPr>
          <w:rFonts w:cs="Times New Roman" w:ascii="Times New Roman" w:hAnsi="Times New Roman"/>
        </w:rPr>
        <w:t>ue não tenham representação legal no Brasil com poderes expressos para receber citação e responder administrativa ou judicialmente;</w:t>
      </w:r>
    </w:p>
    <w:p>
      <w:pPr>
        <w:pStyle w:val="Standard"/>
        <w:keepLines/>
        <w:ind w:left="283"/>
        <w:jc w:val="both"/>
        <w:rPr>
          <w:rFonts w:ascii="Times New Roman" w:hAnsi="Times New Roman" w:cs="Times New Roman"/>
        </w:rPr>
      </w:pPr>
      <w:r>
        <w:rPr>
          <w:rFonts w:cs="Times New Roman" w:ascii="Times New Roman" w:hAnsi="Times New Roman"/>
        </w:rPr>
      </w:r>
    </w:p>
    <w:p>
      <w:pPr>
        <w:pStyle w:val="Standard"/>
        <w:keepLines/>
        <w:ind w:left="283"/>
        <w:jc w:val="both"/>
        <w:textAlignment w:val="top"/>
        <w:rPr/>
      </w:pPr>
      <w:r>
        <w:rPr>
          <w:rFonts w:cs="Times New Roman" w:ascii="Times New Roman" w:hAnsi="Times New Roman"/>
          <w:b/>
          <w:bCs/>
        </w:rPr>
        <w:t>d)</w:t>
      </w:r>
      <w:r>
        <w:rPr>
          <w:rFonts w:cs="Times New Roman" w:ascii="Times New Roman" w:hAnsi="Times New Roman"/>
        </w:rPr>
        <w:t xml:space="preserve"> que se enquadrem nas vedações previstas no artigo 9.º da Lei n.º 14.133/21;</w:t>
      </w:r>
    </w:p>
    <w:p>
      <w:pPr>
        <w:pStyle w:val="Standard"/>
        <w:keepLines/>
        <w:ind w:left="283"/>
        <w:jc w:val="both"/>
        <w:textAlignment w:val="top"/>
        <w:rPr>
          <w:rFonts w:ascii="Times New Roman" w:hAnsi="Times New Roman" w:cs="Times New Roman"/>
        </w:rPr>
      </w:pPr>
      <w:r>
        <w:rPr>
          <w:rFonts w:cs="Times New Roman" w:ascii="Times New Roman" w:hAnsi="Times New Roman"/>
        </w:rPr>
      </w:r>
    </w:p>
    <w:p>
      <w:pPr>
        <w:pStyle w:val="Standard"/>
        <w:keepLines/>
        <w:ind w:left="283"/>
        <w:jc w:val="both"/>
        <w:textAlignment w:val="top"/>
        <w:rPr/>
      </w:pPr>
      <w:r>
        <w:rPr>
          <w:rFonts w:cs="Times New Roman" w:ascii="Times New Roman" w:hAnsi="Times New Roman"/>
          <w:b/>
          <w:bCs/>
        </w:rPr>
        <w:t>e)</w:t>
      </w:r>
      <w:r>
        <w:rPr>
          <w:rFonts w:cs="Times New Roman" w:ascii="Times New Roman" w:hAnsi="Times New Roman"/>
        </w:rPr>
        <w:t xml:space="preserve"> </w:t>
      </w:r>
      <w:r>
        <w:rPr>
          <w:rFonts w:cs="Times New Roman" w:ascii="Times New Roman" w:hAnsi="Times New Roman"/>
          <w:color w:val="000000"/>
        </w:rPr>
        <w:t>que estejam sob falência, concurso de credores, recuperação judicial</w:t>
      </w:r>
      <w:r>
        <w:rPr>
          <w:rFonts w:cs="Times New Roman" w:ascii="Times New Roman" w:hAnsi="Times New Roman"/>
        </w:rPr>
        <w:t xml:space="preserve"> ou </w:t>
      </w:r>
      <w:r>
        <w:rPr>
          <w:rFonts w:cs="Times New Roman" w:ascii="Times New Roman" w:hAnsi="Times New Roman"/>
          <w:color w:val="000000"/>
        </w:rPr>
        <w:t>em processo de dissolução ou liquidação;</w:t>
      </w:r>
    </w:p>
    <w:p>
      <w:pPr>
        <w:pStyle w:val="Standard"/>
        <w:keepLines/>
        <w:ind w:left="283"/>
        <w:jc w:val="both"/>
        <w:textAlignment w:val="top"/>
        <w:rPr>
          <w:rFonts w:ascii="Times New Roman" w:hAnsi="Times New Roman" w:cs="Times New Roman"/>
        </w:rPr>
      </w:pPr>
      <w:r>
        <w:rPr>
          <w:rFonts w:cs="Times New Roman" w:ascii="Times New Roman" w:hAnsi="Times New Roman"/>
        </w:rPr>
      </w:r>
    </w:p>
    <w:p>
      <w:pPr>
        <w:pStyle w:val="Standard"/>
        <w:keepLines/>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pPr>
      <w:r>
        <w:rPr>
          <w:rFonts w:cs="Times New Roman" w:ascii="Times New Roman" w:hAnsi="Times New Roman"/>
          <w:b/>
          <w:bCs/>
          <w:shd w:fill="FFFFFF" w:val="clear"/>
        </w:rPr>
        <w:t xml:space="preserve">f) </w:t>
      </w:r>
      <w:r>
        <w:rPr>
          <w:rFonts w:cs="Times New Roman" w:ascii="Times New Roman" w:hAnsi="Times New Roman"/>
          <w:shd w:fill="FFFFFF" w:val="clear"/>
        </w:rPr>
        <w:t>entidades e</w:t>
      </w:r>
      <w:r>
        <w:rPr>
          <w:rFonts w:cs="Times New Roman" w:ascii="Times New Roman" w:hAnsi="Times New Roman"/>
        </w:rPr>
        <w:t>mpresariais que estejam reunidas em consórcio;</w:t>
      </w:r>
    </w:p>
    <w:p>
      <w:pPr>
        <w:pStyle w:val="Standard"/>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cs="Times New Roman"/>
        </w:rPr>
      </w:pPr>
      <w:r>
        <w:rPr>
          <w:rFonts w:cs="Times New Roman" w:ascii="Times New Roman" w:hAnsi="Times New Roman"/>
        </w:rPr>
      </w:r>
    </w:p>
    <w:p>
      <w:pPr>
        <w:pStyle w:val="Standard"/>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pPr>
      <w:r>
        <w:rPr>
          <w:rFonts w:cs="Times New Roman" w:ascii="Times New Roman" w:hAnsi="Times New Roman"/>
          <w:b/>
          <w:bCs/>
        </w:rPr>
        <w:t>g)</w:t>
      </w:r>
      <w:r>
        <w:rPr>
          <w:rFonts w:cs="Times New Roman" w:ascii="Times New Roman" w:hAnsi="Times New Roman"/>
        </w:rPr>
        <w:t xml:space="preserve"> pessoas físicas.</w:t>
      </w:r>
    </w:p>
    <w:p>
      <w:pPr>
        <w:pStyle w:val="Standard"/>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cs="Times New Roman"/>
        </w:rPr>
      </w:pPr>
      <w:r>
        <w:rPr>
          <w:rFonts w:cs="Times New Roman" w:ascii="Times New Roman" w:hAnsi="Times New Roman"/>
        </w:rPr>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cs="Times New Roman" w:ascii="Times New Roman" w:hAnsi="Times New Roman"/>
          <w:b/>
          <w:bCs/>
        </w:rPr>
        <w:t xml:space="preserve">3.4. </w:t>
      </w:r>
      <w:r>
        <w:rPr>
          <w:rFonts w:cs="Times New Roman" w:ascii="Times New Roman" w:hAnsi="Times New Roman"/>
          <w:b/>
          <w:bCs/>
          <w:u w:val="single"/>
        </w:rPr>
        <w:t>Da comprovação das condições de participação</w:t>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cs="Times New Roman"/>
          <w:b/>
          <w:bCs/>
        </w:rPr>
      </w:pPr>
      <w:r>
        <w:rPr>
          <w:rFonts w:cs="Times New Roman" w:ascii="Times New Roman" w:hAnsi="Times New Roman"/>
          <w:b/>
          <w:bCs/>
        </w:rPr>
      </w:r>
    </w:p>
    <w:p>
      <w:pPr>
        <w:pStyle w:val="Standard"/>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ind w:firstLine="227"/>
        <w:jc w:val="both"/>
        <w:textAlignment w:val="top"/>
        <w:rPr/>
      </w:pPr>
      <w:r>
        <w:rPr>
          <w:rFonts w:cs="Times New Roman" w:ascii="Times New Roman" w:hAnsi="Times New Roman"/>
        </w:rPr>
        <w:t xml:space="preserve">A(s) participante(s) deverá(ão) apresentar, </w:t>
      </w:r>
      <w:r>
        <w:rPr>
          <w:rFonts w:cs="Times New Roman" w:ascii="Times New Roman" w:hAnsi="Times New Roman"/>
          <w:u w:val="single"/>
        </w:rPr>
        <w:t>fora</w:t>
      </w:r>
      <w:r>
        <w:rPr>
          <w:rFonts w:cs="Times New Roman" w:ascii="Times New Roman" w:hAnsi="Times New Roman"/>
        </w:rPr>
        <w:t xml:space="preserve"> do envelope de Documentação, a seguinte declaração:</w:t>
      </w:r>
    </w:p>
    <w:p>
      <w:pPr>
        <w:pStyle w:val="Standard"/>
        <w:widowControl w:val="false"/>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eastAsia="Arial, sans-serif" w:cs="Times New Roman"/>
        </w:rPr>
      </w:pPr>
      <w:r>
        <w:rPr>
          <w:rFonts w:eastAsia="Arial, sans-serif" w:cs="Times New Roman" w:ascii="Times New Roman" w:hAnsi="Times New Roman"/>
        </w:rPr>
      </w:r>
    </w:p>
    <w:p>
      <w:pPr>
        <w:pStyle w:val="Standard"/>
        <w:keepLines/>
        <w:tabs>
          <w:tab w:val="clear" w:pos="709"/>
          <w:tab w:val="left" w:pos="16726" w:leader="none"/>
          <w:tab w:val="left" w:pos="17299" w:leader="none"/>
          <w:tab w:val="left" w:pos="17863" w:leader="none"/>
          <w:tab w:val="left" w:pos="18583" w:leader="none"/>
          <w:tab w:val="left" w:pos="19303" w:leader="none"/>
          <w:tab w:val="left" w:pos="20023" w:leader="none"/>
          <w:tab w:val="left" w:pos="20743" w:leader="none"/>
          <w:tab w:val="left" w:pos="21463" w:leader="none"/>
          <w:tab w:val="left" w:pos="22183" w:leader="none"/>
          <w:tab w:val="left" w:pos="22903" w:leader="none"/>
        </w:tabs>
        <w:ind w:left="283"/>
        <w:jc w:val="both"/>
        <w:textAlignment w:val="top"/>
        <w:rPr/>
      </w:pPr>
      <w:r>
        <w:rPr>
          <w:rFonts w:cs="Times New Roman" w:ascii="Times New Roman" w:hAnsi="Times New Roman"/>
          <w:b/>
          <w:bCs/>
        </w:rPr>
        <w:t>3.4.1.</w:t>
      </w:r>
      <w:r>
        <w:rPr>
          <w:rFonts w:cs="Times New Roman" w:ascii="Times New Roman" w:hAnsi="Times New Roman"/>
        </w:rPr>
        <w:t xml:space="preserve"> </w:t>
      </w:r>
      <w:r>
        <w:rPr>
          <w:rFonts w:cs="Times New Roman" w:ascii="Times New Roman" w:hAnsi="Times New Roman"/>
          <w:b/>
          <w:bCs/>
        </w:rPr>
        <w:t>Declaração de Participação</w:t>
      </w:r>
      <w:r>
        <w:rPr>
          <w:rFonts w:cs="Times New Roman" w:ascii="Times New Roman" w:hAnsi="Times New Roman"/>
        </w:rPr>
        <w:t xml:space="preserve"> (</w:t>
      </w:r>
      <w:r>
        <w:rPr>
          <w:rFonts w:eastAsia="Arial, sans-serif" w:cs="Times New Roman" w:ascii="Times New Roman" w:hAnsi="Times New Roman"/>
        </w:rPr>
        <w:t>conforme modelo deste Edital</w:t>
      </w:r>
      <w:r>
        <w:rPr>
          <w:rFonts w:cs="Times New Roman" w:ascii="Times New Roman" w:hAnsi="Times New Roman"/>
        </w:rPr>
        <w:t>), sob as penas da lei, assinada pelo representante da(s) participante(s):</w:t>
      </w:r>
    </w:p>
    <w:p>
      <w:pPr>
        <w:pStyle w:val="Standard"/>
        <w:tabs>
          <w:tab w:val="clear" w:pos="709"/>
          <w:tab w:val="left" w:pos="16726" w:leader="none"/>
          <w:tab w:val="left" w:pos="17299" w:leader="none"/>
          <w:tab w:val="left" w:pos="17863" w:leader="none"/>
          <w:tab w:val="left" w:pos="18583" w:leader="none"/>
          <w:tab w:val="left" w:pos="19303" w:leader="none"/>
          <w:tab w:val="left" w:pos="20023" w:leader="none"/>
          <w:tab w:val="left" w:pos="20743" w:leader="none"/>
          <w:tab w:val="left" w:pos="21463" w:leader="none"/>
          <w:tab w:val="left" w:pos="22183" w:leader="none"/>
          <w:tab w:val="left" w:pos="22903" w:leader="none"/>
        </w:tabs>
        <w:ind w:left="283"/>
        <w:jc w:val="both"/>
        <w:textAlignment w:val="top"/>
        <w:rPr>
          <w:rFonts w:ascii="Times New Roman" w:hAnsi="Times New Roman" w:cs="Times New Roman"/>
        </w:rPr>
      </w:pPr>
      <w:r>
        <w:rPr>
          <w:rFonts w:cs="Times New Roman" w:ascii="Times New Roman" w:hAnsi="Times New Roman"/>
        </w:rPr>
      </w:r>
    </w:p>
    <w:p>
      <w:pPr>
        <w:pStyle w:val="Standard"/>
        <w:keepLines/>
        <w:tabs>
          <w:tab w:val="clear" w:pos="709"/>
          <w:tab w:val="left" w:pos="17010" w:leader="none"/>
          <w:tab w:val="left" w:pos="17583" w:leader="none"/>
          <w:tab w:val="left" w:pos="18147" w:leader="none"/>
          <w:tab w:val="left" w:pos="18867" w:leader="none"/>
          <w:tab w:val="left" w:pos="19587" w:leader="none"/>
          <w:tab w:val="left" w:pos="20307" w:leader="none"/>
          <w:tab w:val="left" w:pos="21027" w:leader="none"/>
          <w:tab w:val="left" w:pos="21747" w:leader="none"/>
          <w:tab w:val="left" w:pos="22467" w:leader="none"/>
          <w:tab w:val="left" w:pos="23187" w:leader="none"/>
        </w:tabs>
        <w:ind w:left="567"/>
        <w:jc w:val="both"/>
        <w:textAlignment w:val="top"/>
        <w:rPr/>
      </w:pPr>
      <w:r>
        <w:rPr>
          <w:rFonts w:eastAsia="Zurich BT" w:cs="Times New Roman" w:ascii="Times New Roman" w:hAnsi="Times New Roman"/>
          <w:b/>
          <w:bCs/>
          <w:color w:val="000000"/>
        </w:rPr>
        <w:t>a)</w:t>
      </w:r>
      <w:r>
        <w:rPr>
          <w:rFonts w:eastAsia="Zurich BT" w:cs="Times New Roman" w:ascii="Times New Roman" w:hAnsi="Times New Roman"/>
          <w:color w:val="000000"/>
        </w:rPr>
        <w:t xml:space="preserve"> que está ciente e concorda com as condições contidas no Edital e seus Anexos;</w:t>
      </w:r>
    </w:p>
    <w:p>
      <w:pPr>
        <w:pStyle w:val="Standard"/>
        <w:keepLines/>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eastAsia="Zurich BT" w:cs="Times New Roman"/>
          <w:color w:val="000000"/>
        </w:rPr>
      </w:pPr>
      <w:r>
        <w:rPr>
          <w:rFonts w:eastAsia="Zurich BT" w:cs="Times New Roman" w:ascii="Times New Roman" w:hAnsi="Times New Roman"/>
          <w:color w:val="000000"/>
        </w:rPr>
      </w:r>
    </w:p>
    <w:p>
      <w:pPr>
        <w:pStyle w:val="Standard"/>
        <w:keepLines/>
        <w:widowControl w:val="false"/>
        <w:tabs>
          <w:tab w:val="clear" w:pos="709"/>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eastAsia="Zurich BT" w:cs="Times New Roman" w:ascii="Times New Roman" w:hAnsi="Times New Roman"/>
          <w:b/>
          <w:bCs/>
          <w:color w:val="000000"/>
        </w:rPr>
        <w:t>b)</w:t>
      </w:r>
      <w:r>
        <w:rPr>
          <w:rFonts w:eastAsia="Zurich BT" w:cs="Times New Roman" w:ascii="Times New Roman" w:hAnsi="Times New Roman"/>
          <w:color w:val="000000"/>
        </w:rPr>
        <w:t xml:space="preserve"> que cumpre os requisitos para a habilitação definidos no Edital e seus Anexos e que a documentação apresentada está em conformidade com as exigências;</w:t>
      </w:r>
    </w:p>
    <w:p>
      <w:pPr>
        <w:pStyle w:val="Standard"/>
        <w:keepLines/>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eastAsia="Zurich BT" w:cs="Times New Roman"/>
          <w:color w:val="000000"/>
        </w:rPr>
      </w:pPr>
      <w:r>
        <w:rPr>
          <w:rFonts w:eastAsia="Zurich BT" w:cs="Times New Roman" w:ascii="Times New Roman" w:hAnsi="Times New Roman"/>
          <w:color w:val="000000"/>
        </w:rPr>
      </w:r>
    </w:p>
    <w:p>
      <w:pPr>
        <w:pStyle w:val="Standard"/>
        <w:keepLines/>
        <w:widowControl w:val="false"/>
        <w:tabs>
          <w:tab w:val="clear" w:pos="709"/>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eastAsia="Zurich BT" w:cs="Times New Roman" w:ascii="Times New Roman" w:hAnsi="Times New Roman"/>
          <w:b/>
          <w:bCs/>
          <w:color w:val="000000"/>
        </w:rPr>
        <w:t xml:space="preserve">c) </w:t>
      </w:r>
      <w:r>
        <w:rPr>
          <w:rFonts w:eastAsia="Zurich BT" w:cs="Times New Roman" w:ascii="Times New Roman" w:hAnsi="Times New Roman"/>
          <w:color w:val="000000"/>
        </w:rPr>
        <w:t>que inexistem fatos impeditivos para sua habilitação no certame, ciente da obrigatoriedade de declarar ocorrências posteriores;</w:t>
      </w:r>
    </w:p>
    <w:p>
      <w:pPr>
        <w:pStyle w:val="Standard"/>
        <w:keepLines/>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eastAsia="Zurich BT" w:cs="Times New Roman"/>
          <w:color w:val="000000"/>
        </w:rPr>
      </w:pPr>
      <w:r>
        <w:rPr>
          <w:rFonts w:eastAsia="Zurich BT" w:cs="Times New Roman" w:ascii="Times New Roman" w:hAnsi="Times New Roman"/>
          <w:color w:val="000000"/>
        </w:rPr>
      </w:r>
    </w:p>
    <w:p>
      <w:pPr>
        <w:pStyle w:val="Standard"/>
        <w:keepLines/>
        <w:widowControl w:val="false"/>
        <w:tabs>
          <w:tab w:val="clear" w:pos="709"/>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eastAsia="Zurich BT" w:cs="Times New Roman" w:ascii="Times New Roman" w:hAnsi="Times New Roman"/>
          <w:b/>
          <w:bCs/>
          <w:color w:val="000000"/>
        </w:rPr>
        <w:t xml:space="preserve">d) </w:t>
      </w:r>
      <w:r>
        <w:rPr>
          <w:rFonts w:eastAsia="Zurich BT" w:cs="Times New Roman" w:ascii="Times New Roman" w:hAnsi="Times New Roman"/>
          <w:color w:val="000000"/>
        </w:rPr>
        <w:t>que não emprega menor de 18 anos em trabalho noturno, perigoso ou insalubre e não emprega menor de 16 anos, salvo menor, a partir dos 14 anos, na condição de aprendiz, nos termos do artigo 7.º, XXXIII, da Constituição Federal;</w:t>
      </w:r>
    </w:p>
    <w:p>
      <w:pPr>
        <w:pStyle w:val="Standard"/>
        <w:keepLines/>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eastAsia="Zurich BT" w:cs="Times New Roman"/>
          <w:color w:val="000000"/>
        </w:rPr>
      </w:pPr>
      <w:r>
        <w:rPr>
          <w:rFonts w:eastAsia="Zurich BT" w:cs="Times New Roman" w:ascii="Times New Roman" w:hAnsi="Times New Roman"/>
          <w:color w:val="000000"/>
        </w:rPr>
      </w:r>
    </w:p>
    <w:p>
      <w:pPr>
        <w:pStyle w:val="Standard"/>
        <w:keepLines/>
        <w:widowControl w:val="false"/>
        <w:tabs>
          <w:tab w:val="clear" w:pos="709"/>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eastAsia="Zurich BT" w:cs="Times New Roman" w:ascii="Times New Roman" w:hAnsi="Times New Roman"/>
          <w:b/>
          <w:bCs/>
          <w:color w:val="000000"/>
        </w:rPr>
        <w:t>e)</w:t>
      </w:r>
      <w:r>
        <w:rPr>
          <w:rFonts w:cs="Times New Roman" w:ascii="Times New Roman" w:hAnsi="Times New Roman"/>
        </w:rPr>
        <w:t xml:space="preserve"> que cumpre a reserva de cargos prevista em lei para pessoa com deficiência ou para reabilitado da Previdência Social e que atende às regras de acessibilidade previstas na legislação, conforme disposto no art. 93 da Lei n.º 8.213, de 24 de julho de 1991, se couber.</w:t>
      </w:r>
    </w:p>
    <w:p>
      <w:pPr>
        <w:pStyle w:val="Standard"/>
        <w:keepLines/>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cs="Times New Roman"/>
          <w:b/>
          <w:bCs/>
        </w:rPr>
      </w:pPr>
      <w:r>
        <w:rPr>
          <w:rFonts w:cs="Times New Roman" w:ascii="Times New Roman" w:hAnsi="Times New Roman"/>
          <w:b/>
          <w:bCs/>
        </w:rPr>
      </w:r>
    </w:p>
    <w:p>
      <w:pPr>
        <w:pStyle w:val="Standard"/>
        <w:tabs>
          <w:tab w:val="clear" w:pos="709"/>
          <w:tab w:val="left" w:pos="846" w:leader="none"/>
          <w:tab w:val="left" w:pos="16726" w:leader="none"/>
          <w:tab w:val="left" w:pos="17299" w:leader="none"/>
          <w:tab w:val="left" w:pos="17863" w:leader="none"/>
          <w:tab w:val="left" w:pos="18583" w:leader="none"/>
          <w:tab w:val="left" w:pos="19303" w:leader="none"/>
          <w:tab w:val="left" w:pos="20023" w:leader="none"/>
          <w:tab w:val="left" w:pos="20743" w:leader="none"/>
          <w:tab w:val="left" w:pos="21463" w:leader="none"/>
          <w:tab w:val="left" w:pos="22183" w:leader="none"/>
          <w:tab w:val="left" w:pos="22903" w:leader="none"/>
        </w:tabs>
        <w:ind w:left="283"/>
        <w:jc w:val="both"/>
        <w:textAlignment w:val="top"/>
        <w:rPr/>
      </w:pPr>
      <w:r>
        <w:rPr>
          <w:rFonts w:cs="Times New Roman" w:ascii="Times New Roman" w:hAnsi="Times New Roman"/>
          <w:b/>
          <w:bCs/>
        </w:rPr>
        <w:t xml:space="preserve">3.4.1.1. </w:t>
      </w:r>
      <w:r>
        <w:rPr>
          <w:rFonts w:cs="Times New Roman" w:ascii="Times New Roman" w:hAnsi="Times New Roman"/>
        </w:rPr>
        <w:t>A declaração falsa relativa ao cumprimento de qualquer condição sujeitará a(s) participante(s) às sanções previstas em lei e neste Edital e seus anexos.</w:t>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3.5.</w:t>
      </w:r>
      <w:r>
        <w:rPr>
          <w:rFonts w:eastAsia="ArialMT" w:cs="Times New Roman" w:ascii="Times New Roman" w:hAnsi="Times New Roman"/>
          <w:color w:val="000000"/>
          <w:lang w:eastAsia="ar-SA" w:bidi="ar-SA"/>
        </w:rPr>
        <w:t xml:space="preserve"> Do requisito para usufruir do tratamento diferenciado previsto na Lei Complementar n.° 123/2006</w:t>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ind w:firstLine="227"/>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t>A(s) participante(s) deverá(ão) apresentar, fora do envelope de Documentação, a seguinte declaração:</w:t>
      </w:r>
    </w:p>
    <w:p>
      <w:pPr>
        <w:pStyle w:val="Standard"/>
        <w:widowControl w:val="false"/>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widowControl w:val="false"/>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pPr>
      <w:r>
        <w:rPr>
          <w:rFonts w:eastAsia="ArialMT" w:cs="Times New Roman" w:ascii="Times New Roman" w:hAnsi="Times New Roman"/>
          <w:b/>
          <w:bCs/>
          <w:color w:val="000000"/>
          <w:lang w:eastAsia="ar-SA" w:bidi="ar-SA"/>
        </w:rPr>
        <w:t>3.4.1.</w:t>
      </w:r>
      <w:r>
        <w:rPr>
          <w:rFonts w:eastAsia="ArialMT" w:cs="Times New Roman" w:ascii="Times New Roman" w:hAnsi="Times New Roman"/>
          <w:color w:val="000000"/>
          <w:lang w:eastAsia="ar-SA" w:bidi="ar-SA"/>
        </w:rPr>
        <w:t xml:space="preserve"> Declaração de que se enquadra como microempresa ou empresa de pequeno porte (conforme modelo deste Edital), assinada por representante legal e por contador ou técnico em contabilidade da empresa, somente para a participante que pretender utilizar os benefícios previstos nos artigos 42 a 45 da Lei Complementar n.º 123, de 14 de dezembro de 2006, e suas alterações.</w:t>
      </w:r>
    </w:p>
    <w:p>
      <w:pPr>
        <w:pStyle w:val="Standard"/>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tabs>
          <w:tab w:val="clear" w:pos="709"/>
          <w:tab w:val="left" w:pos="17010" w:leader="none"/>
          <w:tab w:val="left" w:pos="17583" w:leader="none"/>
          <w:tab w:val="left" w:pos="18147" w:leader="none"/>
          <w:tab w:val="left" w:pos="18867" w:leader="none"/>
          <w:tab w:val="left" w:pos="19587" w:leader="none"/>
          <w:tab w:val="left" w:pos="20307" w:leader="none"/>
          <w:tab w:val="left" w:pos="21027" w:leader="none"/>
          <w:tab w:val="left" w:pos="21747" w:leader="none"/>
          <w:tab w:val="left" w:pos="22467" w:leader="none"/>
          <w:tab w:val="left" w:pos="23187" w:leader="none"/>
        </w:tabs>
        <w:ind w:left="567"/>
        <w:jc w:val="both"/>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t>a) A declaração de ME ou EPP deverá conter o número de inscrição do profissional no Conselho Regional de Contabilidade – CRC e a assinatura do mesmo.</w:t>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cs="Times New Roman"/>
          <w:b/>
        </w:rPr>
      </w:pPr>
      <w:r>
        <w:rPr>
          <w:rFonts w:cs="Times New Roman" w:ascii="Times New Roman" w:hAnsi="Times New Roman"/>
          <w:b/>
        </w:rPr>
      </w:r>
    </w:p>
    <w:p>
      <w:pPr>
        <w:pStyle w:val="Heading1"/>
        <w:rPr>
          <w:rFonts w:ascii="Times New Roman" w:hAnsi="Times New Roman" w:cs="Times New Roman"/>
          <w:sz w:val="24"/>
        </w:rPr>
      </w:pPr>
      <w:bookmarkStart w:id="13" w:name="__RefHeading___Toc49499_1822919798"/>
      <w:bookmarkStart w:id="14" w:name="_Toc224628433"/>
      <w:bookmarkStart w:id="15" w:name="_Toc193803144"/>
      <w:bookmarkStart w:id="16" w:name="_Toc220503770"/>
      <w:bookmarkEnd w:id="13"/>
      <w:r>
        <w:rPr>
          <w:rFonts w:cs="Times New Roman" w:ascii="Times New Roman" w:hAnsi="Times New Roman"/>
          <w:sz w:val="24"/>
        </w:rPr>
        <w:t>4. DO CREDENCIAMENTO DO REPRESENTANTE DA(S) PARTICIPANTE(S)</w:t>
      </w:r>
      <w:bookmarkEnd w:id="14"/>
      <w:bookmarkEnd w:id="15"/>
      <w:bookmarkEnd w:id="16"/>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shd w:fill="FFFF00" w:val="clear"/>
        </w:rPr>
      </w:pPr>
      <w:r>
        <w:rPr>
          <w:rFonts w:cs="Times New Roman" w:ascii="Times New Roman" w:hAnsi="Times New Roman"/>
          <w:shd w:fill="FFFF00" w:val="clear"/>
        </w:rPr>
      </w:r>
    </w:p>
    <w:p>
      <w:pPr>
        <w:pStyle w:val="Textbodyindent"/>
        <w:widowControl w:val="false"/>
        <w:tabs>
          <w:tab w:val="clear" w:pos="288"/>
          <w:tab w:val="clear" w:pos="1008"/>
          <w:tab w:val="left" w:pos="880" w:leader="none"/>
          <w:tab w:val="left" w:pos="92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rPr/>
      </w:pPr>
      <w:r>
        <w:rPr>
          <w:rFonts w:cs="Times New Roman" w:ascii="Times New Roman" w:hAnsi="Times New Roman"/>
          <w:bCs/>
          <w:sz w:val="24"/>
        </w:rPr>
        <w:t xml:space="preserve">4.1. </w:t>
      </w:r>
      <w:r>
        <w:rPr>
          <w:rFonts w:eastAsia="ArialMT" w:cs="Times New Roman" w:ascii="Times New Roman" w:hAnsi="Times New Roman"/>
          <w:b w:val="false"/>
          <w:bCs/>
          <w:color w:val="000000"/>
          <w:sz w:val="24"/>
          <w:lang w:eastAsia="ar-SA" w:bidi="ar-SA"/>
        </w:rPr>
        <w:t>A</w:t>
      </w:r>
      <w:r>
        <w:rPr>
          <w:rFonts w:eastAsia="ArialMT" w:cs="Times New Roman" w:ascii="Times New Roman" w:hAnsi="Times New Roman"/>
          <w:b w:val="false"/>
          <w:color w:val="000000"/>
          <w:sz w:val="24"/>
          <w:lang w:eastAsia="ar-SA" w:bidi="ar-SA"/>
        </w:rPr>
        <w:t>(s) participante(s)</w:t>
      </w:r>
      <w:r>
        <w:rPr>
          <w:rFonts w:cs="Times New Roman" w:ascii="Times New Roman" w:hAnsi="Times New Roman"/>
          <w:sz w:val="24"/>
        </w:rPr>
        <w:t xml:space="preserve"> </w:t>
      </w:r>
      <w:r>
        <w:rPr>
          <w:rFonts w:cs="Times New Roman" w:ascii="Times New Roman" w:hAnsi="Times New Roman"/>
          <w:bCs/>
          <w:sz w:val="24"/>
        </w:rPr>
        <w:t>poderá(ão)</w:t>
      </w:r>
      <w:r>
        <w:rPr>
          <w:rFonts w:cs="Times New Roman" w:ascii="Times New Roman" w:hAnsi="Times New Roman"/>
          <w:sz w:val="24"/>
        </w:rPr>
        <w:t xml:space="preserve"> </w:t>
      </w:r>
      <w:r>
        <w:rPr>
          <w:rFonts w:cs="Times New Roman" w:ascii="Times New Roman" w:hAnsi="Times New Roman"/>
          <w:b w:val="false"/>
          <w:sz w:val="24"/>
        </w:rPr>
        <w:t>fazer-se presente(s) na sessão pública de recebimento e abertura do envelope de documentação. Nesse caso,</w:t>
      </w:r>
      <w:r>
        <w:rPr>
          <w:rFonts w:cs="Times New Roman" w:ascii="Times New Roman" w:hAnsi="Times New Roman"/>
          <w:sz w:val="24"/>
        </w:rPr>
        <w:t xml:space="preserve"> será aceito</w:t>
      </w:r>
      <w:r>
        <w:rPr>
          <w:rFonts w:cs="Times New Roman" w:ascii="Times New Roman" w:hAnsi="Times New Roman"/>
          <w:b w:val="false"/>
          <w:sz w:val="24"/>
        </w:rPr>
        <w:t xml:space="preserve"> </w:t>
      </w:r>
      <w:r>
        <w:rPr>
          <w:rFonts w:cs="Times New Roman" w:ascii="Times New Roman" w:hAnsi="Times New Roman"/>
          <w:sz w:val="24"/>
        </w:rPr>
        <w:t xml:space="preserve">somente um </w:t>
      </w:r>
      <w:r>
        <w:rPr>
          <w:rFonts w:cs="Times New Roman" w:ascii="Times New Roman" w:hAnsi="Times New Roman"/>
          <w:b w:val="false"/>
          <w:sz w:val="24"/>
        </w:rPr>
        <w:t xml:space="preserve">representante legal por </w:t>
      </w:r>
      <w:r>
        <w:rPr>
          <w:rFonts w:eastAsia="ArialMT" w:cs="Times New Roman" w:ascii="Times New Roman" w:hAnsi="Times New Roman"/>
          <w:b w:val="false"/>
          <w:color w:val="000000"/>
          <w:sz w:val="24"/>
          <w:lang w:eastAsia="ar-SA" w:bidi="ar-SA"/>
        </w:rPr>
        <w:t>participante</w:t>
      </w:r>
      <w:r>
        <w:rPr>
          <w:rFonts w:cs="Times New Roman" w:ascii="Times New Roman" w:hAnsi="Times New Roman"/>
          <w:b w:val="false"/>
          <w:sz w:val="24"/>
        </w:rPr>
        <w:t>, conforme instruções abaixo:</w:t>
      </w:r>
    </w:p>
    <w:p>
      <w:pPr>
        <w:pStyle w:val="Standard"/>
        <w:tabs>
          <w:tab w:val="clear" w:pos="709"/>
          <w:tab w:val="left" w:pos="9636" w:leader="none"/>
          <w:tab w:val="left" w:pos="10240" w:leader="none"/>
          <w:tab w:val="left" w:pos="10960" w:leader="none"/>
          <w:tab w:val="left" w:pos="11680" w:leader="none"/>
          <w:tab w:val="left" w:pos="12400" w:leader="none"/>
          <w:tab w:val="left" w:pos="13120" w:leader="none"/>
          <w:tab w:val="left" w:pos="13840" w:leader="none"/>
          <w:tab w:val="left" w:pos="14560" w:leader="none"/>
          <w:tab w:val="left" w:pos="15280" w:leader="none"/>
        </w:tabs>
        <w:ind w:left="284"/>
        <w:jc w:val="both"/>
        <w:rPr>
          <w:rFonts w:ascii="Times New Roman" w:hAnsi="Times New Roman" w:cs="Times New Roman"/>
          <w:b/>
        </w:rPr>
      </w:pPr>
      <w:r>
        <w:rPr>
          <w:rFonts w:cs="Times New Roman" w:ascii="Times New Roman" w:hAnsi="Times New Roman"/>
          <w:b/>
        </w:rPr>
      </w:r>
    </w:p>
    <w:p>
      <w:pPr>
        <w:pStyle w:val="Standard"/>
        <w:tabs>
          <w:tab w:val="clear" w:pos="709"/>
          <w:tab w:val="left" w:pos="9636" w:leader="none"/>
          <w:tab w:val="left" w:pos="10240" w:leader="none"/>
          <w:tab w:val="left" w:pos="10960" w:leader="none"/>
          <w:tab w:val="left" w:pos="11680" w:leader="none"/>
          <w:tab w:val="left" w:pos="12400" w:leader="none"/>
          <w:tab w:val="left" w:pos="13120" w:leader="none"/>
          <w:tab w:val="left" w:pos="13840" w:leader="none"/>
          <w:tab w:val="left" w:pos="14560" w:leader="none"/>
          <w:tab w:val="left" w:pos="15280" w:leader="none"/>
        </w:tabs>
        <w:ind w:left="284"/>
        <w:jc w:val="both"/>
        <w:rPr/>
      </w:pPr>
      <w:r>
        <w:rPr>
          <w:rFonts w:cs="Times New Roman" w:ascii="Times New Roman" w:hAnsi="Times New Roman"/>
          <w:b/>
        </w:rPr>
        <w:t xml:space="preserve">4.1.1. </w:t>
      </w:r>
      <w:r>
        <w:rPr>
          <w:rFonts w:cs="Times New Roman" w:ascii="Times New Roman" w:hAnsi="Times New Roman"/>
        </w:rPr>
        <w:t xml:space="preserve">O credenciamento do representante da </w:t>
      </w:r>
      <w:r>
        <w:rPr>
          <w:rFonts w:eastAsia="ArialMT" w:cs="Times New Roman" w:ascii="Times New Roman" w:hAnsi="Times New Roman"/>
          <w:color w:val="000000"/>
          <w:lang w:eastAsia="ar-SA" w:bidi="ar-SA"/>
        </w:rPr>
        <w:t>participante</w:t>
      </w:r>
      <w:r>
        <w:rPr>
          <w:rFonts w:cs="Times New Roman" w:ascii="Times New Roman" w:hAnsi="Times New Roman"/>
        </w:rPr>
        <w:t xml:space="preserve"> deverá ser da seguinte forma:</w:t>
      </w:r>
    </w:p>
    <w:p>
      <w:pPr>
        <w:pStyle w:val="Standard"/>
        <w:jc w:val="both"/>
        <w:rPr>
          <w:rFonts w:ascii="Times New Roman" w:hAnsi="Times New Roman" w:cs="Times New Roman"/>
        </w:rPr>
      </w:pPr>
      <w:r>
        <w:rPr>
          <w:rFonts w:cs="Times New Roman" w:ascii="Times New Roman" w:hAnsi="Times New Roman"/>
        </w:rPr>
      </w:r>
    </w:p>
    <w:p>
      <w:pPr>
        <w:pStyle w:val="Standard"/>
        <w:tabs>
          <w:tab w:val="clear" w:pos="709"/>
          <w:tab w:val="left" w:pos="17719" w:leader="none"/>
          <w:tab w:val="left" w:pos="18171" w:leader="none"/>
          <w:tab w:val="left" w:pos="18891" w:leader="none"/>
          <w:tab w:val="left" w:pos="19611" w:leader="none"/>
          <w:tab w:val="left" w:pos="20331" w:leader="none"/>
          <w:tab w:val="left" w:pos="21051" w:leader="none"/>
          <w:tab w:val="left" w:pos="21771" w:leader="none"/>
          <w:tab w:val="left" w:pos="22491" w:leader="none"/>
          <w:tab w:val="left" w:pos="23211" w:leader="none"/>
        </w:tabs>
        <w:ind w:left="567"/>
        <w:jc w:val="both"/>
        <w:rPr/>
      </w:pPr>
      <w:r>
        <w:rPr>
          <w:rFonts w:cs="Times New Roman" w:ascii="Times New Roman" w:hAnsi="Times New Roman"/>
          <w:b/>
        </w:rPr>
        <w:t xml:space="preserve">I - </w:t>
      </w:r>
      <w:r>
        <w:rPr>
          <w:rFonts w:cs="Times New Roman" w:ascii="Times New Roman" w:hAnsi="Times New Roman"/>
        </w:rPr>
        <w:t xml:space="preserve">caso o representante </w:t>
      </w:r>
      <w:r>
        <w:rPr>
          <w:rFonts w:cs="Times New Roman" w:ascii="Times New Roman" w:hAnsi="Times New Roman"/>
          <w:b/>
        </w:rPr>
        <w:t>seja</w:t>
      </w:r>
      <w:r>
        <w:rPr>
          <w:rFonts w:cs="Times New Roman" w:ascii="Times New Roman" w:hAnsi="Times New Roman"/>
        </w:rPr>
        <w:t xml:space="preserve"> </w:t>
      </w:r>
      <w:r>
        <w:rPr>
          <w:rFonts w:cs="Times New Roman" w:ascii="Times New Roman" w:hAnsi="Times New Roman"/>
          <w:b/>
        </w:rPr>
        <w:t>sócio-gerente ou diretor da pessoa jurídica</w:t>
      </w:r>
      <w:r>
        <w:rPr>
          <w:rFonts w:cs="Times New Roman" w:ascii="Times New Roman" w:hAnsi="Times New Roman"/>
        </w:rPr>
        <w:t xml:space="preserve"> deverá apresentar Ato Constitutivo ou Estatuto ou Contrato Social;</w:t>
      </w:r>
    </w:p>
    <w:p>
      <w:pPr>
        <w:pStyle w:val="Standard"/>
        <w:tabs>
          <w:tab w:val="clear" w:pos="709"/>
          <w:tab w:val="left" w:pos="16731" w:leader="none"/>
          <w:tab w:val="left" w:pos="17719" w:leader="none"/>
          <w:tab w:val="left" w:pos="18171" w:leader="none"/>
          <w:tab w:val="left" w:pos="18891" w:leader="none"/>
          <w:tab w:val="left" w:pos="19611" w:leader="none"/>
          <w:tab w:val="left" w:pos="20331" w:leader="none"/>
          <w:tab w:val="left" w:pos="21051" w:leader="none"/>
          <w:tab w:val="left" w:pos="21771" w:leader="none"/>
          <w:tab w:val="left" w:pos="22491" w:leader="none"/>
          <w:tab w:val="left" w:pos="23211" w:leader="none"/>
        </w:tabs>
        <w:ind w:left="567"/>
        <w:jc w:val="both"/>
        <w:rPr>
          <w:rFonts w:ascii="Times New Roman" w:hAnsi="Times New Roman" w:cs="Times New Roman"/>
        </w:rPr>
      </w:pPr>
      <w:r>
        <w:rPr>
          <w:rFonts w:cs="Times New Roman" w:ascii="Times New Roman" w:hAnsi="Times New Roman"/>
        </w:rPr>
      </w:r>
    </w:p>
    <w:p>
      <w:pPr>
        <w:pStyle w:val="Textbodyindent"/>
        <w:widowControl w:val="false"/>
        <w:tabs>
          <w:tab w:val="clear" w:pos="288"/>
          <w:tab w:val="clear" w:pos="1008"/>
          <w:tab w:val="clear" w:pos="1728"/>
          <w:tab w:val="clear" w:pos="2448"/>
          <w:tab w:val="clear" w:pos="3168"/>
          <w:tab w:val="clear" w:pos="3888"/>
          <w:tab w:val="clear" w:pos="4608"/>
          <w:tab w:val="clear" w:pos="5328"/>
          <w:tab w:val="clear" w:pos="6048"/>
          <w:tab w:val="clear" w:pos="6768"/>
          <w:tab w:val="left" w:pos="17719" w:leader="none"/>
          <w:tab w:val="left" w:pos="18171" w:leader="none"/>
          <w:tab w:val="left" w:pos="18891" w:leader="none"/>
          <w:tab w:val="left" w:pos="19611" w:leader="none"/>
          <w:tab w:val="left" w:pos="20331" w:leader="none"/>
          <w:tab w:val="left" w:pos="21051" w:leader="none"/>
          <w:tab w:val="left" w:pos="21771" w:leader="none"/>
          <w:tab w:val="left" w:pos="22491" w:leader="none"/>
          <w:tab w:val="left" w:pos="23211" w:leader="none"/>
        </w:tabs>
        <w:ind w:left="567"/>
        <w:rPr/>
      </w:pPr>
      <w:r>
        <w:rPr>
          <w:rFonts w:cs="Times New Roman" w:ascii="Times New Roman" w:hAnsi="Times New Roman"/>
          <w:sz w:val="24"/>
        </w:rPr>
        <w:t>II -</w:t>
      </w:r>
      <w:r>
        <w:rPr>
          <w:rFonts w:cs="Times New Roman" w:ascii="Times New Roman" w:hAnsi="Times New Roman"/>
          <w:b w:val="false"/>
          <w:sz w:val="24"/>
        </w:rPr>
        <w:t xml:space="preserve"> caso o representante </w:t>
      </w:r>
      <w:r>
        <w:rPr>
          <w:rFonts w:cs="Times New Roman" w:ascii="Times New Roman" w:hAnsi="Times New Roman"/>
          <w:sz w:val="24"/>
        </w:rPr>
        <w:t>não seja sócio-gerente ou diretor</w:t>
      </w:r>
      <w:r>
        <w:rPr>
          <w:rFonts w:cs="Times New Roman" w:ascii="Times New Roman" w:hAnsi="Times New Roman"/>
          <w:b w:val="false"/>
          <w:sz w:val="24"/>
        </w:rPr>
        <w:t>, não seja o próprio participante, o seu credenciamento far-se-á mediante:</w:t>
      </w:r>
    </w:p>
    <w:p>
      <w:pPr>
        <w:pStyle w:val="Standard"/>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tabs>
          <w:tab w:val="clear" w:pos="709"/>
          <w:tab w:val="left" w:pos="26407" w:leader="none"/>
          <w:tab w:val="left" w:pos="27127" w:leader="none"/>
          <w:tab w:val="left" w:pos="27847" w:leader="none"/>
          <w:tab w:val="left" w:pos="28567" w:leader="none"/>
          <w:tab w:val="left" w:pos="29287" w:leader="none"/>
          <w:tab w:val="left" w:pos="30007" w:leader="none"/>
          <w:tab w:val="left" w:pos="30727" w:leader="none"/>
          <w:tab w:val="left" w:pos="31447" w:leader="none"/>
        </w:tabs>
        <w:ind w:left="851"/>
        <w:jc w:val="both"/>
        <w:rPr/>
      </w:pPr>
      <w:r>
        <w:rPr>
          <w:rFonts w:cs="Times New Roman" w:ascii="Times New Roman" w:hAnsi="Times New Roman"/>
          <w:b/>
        </w:rPr>
        <w:t>a)</w:t>
      </w:r>
      <w:r>
        <w:rPr>
          <w:rFonts w:cs="Times New Roman" w:ascii="Times New Roman" w:hAnsi="Times New Roman"/>
        </w:rPr>
        <w:t xml:space="preserve"> </w:t>
      </w:r>
      <w:r>
        <w:rPr>
          <w:rFonts w:cs="Times New Roman" w:ascii="Times New Roman" w:hAnsi="Times New Roman"/>
          <w:b/>
        </w:rPr>
        <w:t>Carta de Credenciamento</w:t>
      </w:r>
      <w:r>
        <w:rPr>
          <w:rFonts w:cs="Times New Roman" w:ascii="Times New Roman" w:hAnsi="Times New Roman"/>
        </w:rPr>
        <w:t xml:space="preserve"> (conforme modelo deste Edital) assinada pelo representante legal da pessoa jurídica cuja comprovação far-se-á por meio da apresentação do Ato Constitutivo ou Estatuto ou Contrato Social, ou</w:t>
      </w:r>
    </w:p>
    <w:p>
      <w:pPr>
        <w:pStyle w:val="Standard"/>
        <w:tabs>
          <w:tab w:val="clear" w:pos="709"/>
          <w:tab w:val="left" w:pos="26407" w:leader="none"/>
          <w:tab w:val="left" w:pos="27127" w:leader="none"/>
          <w:tab w:val="left" w:pos="27847" w:leader="none"/>
          <w:tab w:val="left" w:pos="28567" w:leader="none"/>
          <w:tab w:val="left" w:pos="29287" w:leader="none"/>
          <w:tab w:val="left" w:pos="30007" w:leader="none"/>
          <w:tab w:val="left" w:pos="30727" w:leader="none"/>
          <w:tab w:val="left" w:pos="31447" w:leader="none"/>
        </w:tabs>
        <w:ind w:left="851"/>
        <w:jc w:val="both"/>
        <w:rPr>
          <w:rFonts w:ascii="Times New Roman" w:hAnsi="Times New Roman" w:cs="Times New Roman"/>
        </w:rPr>
      </w:pPr>
      <w:r>
        <w:rPr>
          <w:rFonts w:cs="Times New Roman" w:ascii="Times New Roman" w:hAnsi="Times New Roman"/>
        </w:rPr>
      </w:r>
    </w:p>
    <w:p>
      <w:pPr>
        <w:pStyle w:val="Standard"/>
        <w:tabs>
          <w:tab w:val="clear" w:pos="709"/>
          <w:tab w:val="left" w:pos="26407" w:leader="none"/>
          <w:tab w:val="left" w:pos="27127" w:leader="none"/>
          <w:tab w:val="left" w:pos="27847" w:leader="none"/>
          <w:tab w:val="left" w:pos="28567" w:leader="none"/>
          <w:tab w:val="left" w:pos="29287" w:leader="none"/>
          <w:tab w:val="left" w:pos="30007" w:leader="none"/>
          <w:tab w:val="left" w:pos="30727" w:leader="none"/>
          <w:tab w:val="left" w:pos="31447" w:leader="none"/>
        </w:tabs>
        <w:ind w:left="851"/>
        <w:jc w:val="both"/>
        <w:rPr/>
      </w:pPr>
      <w:r>
        <w:rPr>
          <w:rFonts w:cs="Times New Roman" w:ascii="Times New Roman" w:hAnsi="Times New Roman"/>
          <w:b/>
        </w:rPr>
        <w:t>b)</w:t>
      </w:r>
      <w:r>
        <w:rPr>
          <w:rFonts w:cs="Times New Roman" w:ascii="Times New Roman" w:hAnsi="Times New Roman"/>
        </w:rPr>
        <w:t xml:space="preserve"> </w:t>
      </w:r>
      <w:r>
        <w:rPr>
          <w:rFonts w:cs="Times New Roman" w:ascii="Times New Roman" w:hAnsi="Times New Roman"/>
          <w:b/>
        </w:rPr>
        <w:t>Instrumento Público de Procuração</w:t>
      </w:r>
      <w:r>
        <w:rPr>
          <w:rFonts w:cs="Times New Roman" w:ascii="Times New Roman" w:hAnsi="Times New Roman"/>
        </w:rPr>
        <w:t>, que conceda ao representante da pessoa jurídica poderes legais, ou</w:t>
      </w:r>
    </w:p>
    <w:p>
      <w:pPr>
        <w:pStyle w:val="Standard"/>
        <w:tabs>
          <w:tab w:val="clear" w:pos="709"/>
          <w:tab w:val="left" w:pos="26407" w:leader="none"/>
          <w:tab w:val="left" w:pos="27127" w:leader="none"/>
          <w:tab w:val="left" w:pos="27847" w:leader="none"/>
          <w:tab w:val="left" w:pos="28567" w:leader="none"/>
          <w:tab w:val="left" w:pos="29287" w:leader="none"/>
          <w:tab w:val="left" w:pos="30007" w:leader="none"/>
          <w:tab w:val="left" w:pos="30727" w:leader="none"/>
          <w:tab w:val="left" w:pos="31447" w:leader="none"/>
        </w:tabs>
        <w:ind w:left="851"/>
        <w:jc w:val="both"/>
        <w:rPr>
          <w:rFonts w:ascii="Times New Roman" w:hAnsi="Times New Roman" w:cs="Times New Roman"/>
          <w:b/>
        </w:rPr>
      </w:pPr>
      <w:r>
        <w:rPr>
          <w:rFonts w:cs="Times New Roman" w:ascii="Times New Roman" w:hAnsi="Times New Roman"/>
          <w:b/>
        </w:rPr>
      </w:r>
    </w:p>
    <w:p>
      <w:pPr>
        <w:pStyle w:val="Standard"/>
        <w:tabs>
          <w:tab w:val="clear" w:pos="709"/>
          <w:tab w:val="left" w:pos="26407" w:leader="none"/>
          <w:tab w:val="left" w:pos="27127" w:leader="none"/>
          <w:tab w:val="left" w:pos="27847" w:leader="none"/>
          <w:tab w:val="left" w:pos="28567" w:leader="none"/>
          <w:tab w:val="left" w:pos="29287" w:leader="none"/>
          <w:tab w:val="left" w:pos="30007" w:leader="none"/>
          <w:tab w:val="left" w:pos="30727" w:leader="none"/>
          <w:tab w:val="left" w:pos="31447" w:leader="none"/>
        </w:tabs>
        <w:ind w:left="851"/>
        <w:jc w:val="both"/>
        <w:rPr/>
      </w:pPr>
      <w:r>
        <w:rPr>
          <w:rFonts w:cs="Times New Roman" w:ascii="Times New Roman" w:hAnsi="Times New Roman"/>
          <w:b/>
        </w:rPr>
        <w:t>c)</w:t>
      </w:r>
      <w:r>
        <w:rPr>
          <w:rFonts w:cs="Times New Roman" w:ascii="Times New Roman" w:hAnsi="Times New Roman"/>
        </w:rPr>
        <w:t xml:space="preserve"> </w:t>
      </w:r>
      <w:r>
        <w:rPr>
          <w:rFonts w:cs="Times New Roman" w:ascii="Times New Roman" w:hAnsi="Times New Roman"/>
          <w:b/>
        </w:rPr>
        <w:t>Instrumento Particular de Procuração</w:t>
      </w:r>
      <w:r>
        <w:rPr>
          <w:rFonts w:cs="Times New Roman" w:ascii="Times New Roman" w:hAnsi="Times New Roman"/>
        </w:rPr>
        <w:t>, com assinatura reconhecida em cartório, que conceda ao representante da pessoa jurídica poderes legais, sendo que:</w:t>
      </w:r>
    </w:p>
    <w:p>
      <w:pPr>
        <w:pStyle w:val="Standard"/>
        <w:tabs>
          <w:tab w:val="clear" w:pos="709"/>
          <w:tab w:val="left" w:pos="-26804" w:leader="none"/>
          <w:tab w:val="left" w:pos="-26084" w:leader="none"/>
          <w:tab w:val="left" w:pos="-25364" w:leader="none"/>
          <w:tab w:val="left" w:pos="-24644" w:leader="none"/>
          <w:tab w:val="left" w:pos="-23924" w:leader="none"/>
          <w:tab w:val="left" w:pos="-23204" w:leader="none"/>
          <w:tab w:val="left" w:pos="-22484" w:leader="none"/>
          <w:tab w:val="left" w:pos="-21764" w:leader="none"/>
        </w:tabs>
        <w:ind w:left="1276"/>
        <w:jc w:val="both"/>
        <w:rPr>
          <w:rFonts w:ascii="Times New Roman" w:hAnsi="Times New Roman" w:cs="Times New Roman"/>
          <w:b/>
        </w:rPr>
      </w:pPr>
      <w:r>
        <w:rPr>
          <w:rFonts w:cs="Times New Roman" w:ascii="Times New Roman" w:hAnsi="Times New Roman"/>
          <w:b/>
        </w:rPr>
      </w:r>
    </w:p>
    <w:p>
      <w:pPr>
        <w:pStyle w:val="Standard"/>
        <w:tabs>
          <w:tab w:val="clear" w:pos="709"/>
          <w:tab w:val="left" w:pos="-26804" w:leader="none"/>
          <w:tab w:val="left" w:pos="-26084" w:leader="none"/>
          <w:tab w:val="left" w:pos="-25364" w:leader="none"/>
          <w:tab w:val="left" w:pos="-24644" w:leader="none"/>
          <w:tab w:val="left" w:pos="-23924" w:leader="none"/>
          <w:tab w:val="left" w:pos="-23204" w:leader="none"/>
          <w:tab w:val="left" w:pos="-22484" w:leader="none"/>
          <w:tab w:val="left" w:pos="-21764" w:leader="none"/>
        </w:tabs>
        <w:ind w:left="1276"/>
        <w:jc w:val="both"/>
        <w:rPr>
          <w:rFonts w:ascii="Times New Roman" w:hAnsi="Times New Roman" w:cs="Times New Roman"/>
          <w:b/>
        </w:rPr>
      </w:pPr>
      <w:r>
        <w:rPr>
          <w:rFonts w:cs="Times New Roman" w:ascii="Times New Roman" w:hAnsi="Times New Roman"/>
          <w:b/>
        </w:rPr>
      </w:r>
    </w:p>
    <w:p>
      <w:pPr>
        <w:pStyle w:val="Textbodyindent"/>
        <w:widowControl w:val="false"/>
        <w:tabs>
          <w:tab w:val="clear" w:pos="288"/>
          <w:tab w:val="clear" w:pos="1008"/>
          <w:tab w:val="clear" w:pos="1728"/>
          <w:tab w:val="clear" w:pos="2448"/>
          <w:tab w:val="clear" w:pos="3168"/>
          <w:tab w:val="clear" w:pos="3888"/>
          <w:tab w:val="clear" w:pos="4608"/>
          <w:tab w:val="clear" w:pos="5328"/>
          <w:tab w:val="clear" w:pos="6048"/>
          <w:tab w:val="clear" w:pos="6768"/>
          <w:tab w:val="left" w:pos="-30546" w:leader="none"/>
          <w:tab w:val="left" w:pos="-30202" w:leader="none"/>
          <w:tab w:val="left" w:pos="-29482" w:leader="none"/>
          <w:tab w:val="left" w:pos="-28762" w:leader="none"/>
          <w:tab w:val="left" w:pos="-28042" w:leader="none"/>
          <w:tab w:val="left" w:pos="-27322" w:leader="none"/>
          <w:tab w:val="left" w:pos="-26602" w:leader="none"/>
          <w:tab w:val="left" w:pos="-25882" w:leader="none"/>
        </w:tabs>
        <w:ind w:left="1134"/>
        <w:rPr/>
      </w:pPr>
      <w:r>
        <w:rPr>
          <w:rFonts w:cs="Times New Roman" w:ascii="Times New Roman" w:hAnsi="Times New Roman"/>
          <w:sz w:val="24"/>
        </w:rPr>
        <w:t xml:space="preserve">1. </w:t>
      </w:r>
      <w:r>
        <w:rPr>
          <w:rFonts w:cs="Times New Roman" w:ascii="Times New Roman" w:hAnsi="Times New Roman"/>
          <w:b w:val="false"/>
          <w:sz w:val="24"/>
        </w:rPr>
        <w:t xml:space="preserve">se for concedido </w:t>
      </w:r>
      <w:r>
        <w:rPr>
          <w:rFonts w:cs="Times New Roman" w:ascii="Times New Roman" w:hAnsi="Times New Roman"/>
          <w:bCs/>
          <w:sz w:val="24"/>
        </w:rPr>
        <w:t>por sócio-gerente ou diretor</w:t>
      </w:r>
      <w:r>
        <w:rPr>
          <w:rFonts w:cs="Times New Roman" w:ascii="Times New Roman" w:hAnsi="Times New Roman"/>
          <w:b w:val="false"/>
          <w:sz w:val="24"/>
        </w:rPr>
        <w:t>, esta condição deverá ser comprovada;</w:t>
      </w:r>
    </w:p>
    <w:p>
      <w:pPr>
        <w:pStyle w:val="Standard"/>
        <w:tabs>
          <w:tab w:val="clear" w:pos="709"/>
          <w:tab w:val="left" w:pos="-30546" w:leader="none"/>
          <w:tab w:val="left" w:pos="-30202" w:leader="none"/>
          <w:tab w:val="left" w:pos="-29482" w:leader="none"/>
          <w:tab w:val="left" w:pos="-28762" w:leader="none"/>
          <w:tab w:val="left" w:pos="-28042" w:leader="none"/>
          <w:tab w:val="left" w:pos="-27322" w:leader="none"/>
          <w:tab w:val="left" w:pos="-26602" w:leader="none"/>
          <w:tab w:val="left" w:pos="-25882" w:leader="none"/>
        </w:tabs>
        <w:ind w:left="1134"/>
        <w:jc w:val="both"/>
        <w:rPr>
          <w:rFonts w:ascii="Times New Roman" w:hAnsi="Times New Roman" w:cs="Times New Roman"/>
        </w:rPr>
      </w:pPr>
      <w:r>
        <w:rPr>
          <w:rFonts w:cs="Times New Roman" w:ascii="Times New Roman" w:hAnsi="Times New Roman"/>
        </w:rPr>
      </w:r>
    </w:p>
    <w:p>
      <w:pPr>
        <w:pStyle w:val="Standard"/>
        <w:tabs>
          <w:tab w:val="clear" w:pos="709"/>
          <w:tab w:val="left" w:pos="-30546" w:leader="none"/>
          <w:tab w:val="left" w:pos="-30202" w:leader="none"/>
          <w:tab w:val="left" w:pos="-29482" w:leader="none"/>
          <w:tab w:val="left" w:pos="-28762" w:leader="none"/>
          <w:tab w:val="left" w:pos="-28042" w:leader="none"/>
          <w:tab w:val="left" w:pos="-27322" w:leader="none"/>
          <w:tab w:val="left" w:pos="-26602" w:leader="none"/>
          <w:tab w:val="left" w:pos="-25882" w:leader="none"/>
        </w:tabs>
        <w:ind w:left="1134"/>
        <w:jc w:val="both"/>
        <w:rPr/>
      </w:pPr>
      <w:r>
        <w:rPr>
          <w:rFonts w:cs="Times New Roman" w:ascii="Times New Roman" w:hAnsi="Times New Roman"/>
          <w:b/>
        </w:rPr>
        <w:t>2.</w:t>
      </w:r>
      <w:r>
        <w:rPr>
          <w:rFonts w:cs="Times New Roman" w:ascii="Times New Roman" w:hAnsi="Times New Roman"/>
        </w:rPr>
        <w:t xml:space="preserve"> se for assinada por outra pessoa, que </w:t>
      </w:r>
      <w:r>
        <w:rPr>
          <w:rFonts w:cs="Times New Roman" w:ascii="Times New Roman" w:hAnsi="Times New Roman"/>
          <w:b/>
        </w:rPr>
        <w:t>não seja o sócio-gerente ou diretor</w:t>
      </w:r>
      <w:r>
        <w:rPr>
          <w:rFonts w:cs="Times New Roman" w:ascii="Times New Roman" w:hAnsi="Times New Roman"/>
        </w:rPr>
        <w:t>, deverá ter poderes para assinar o referido documento, sendo que a comprovação far-se-á por meio dos documentos que comprovem tal condição.</w:t>
      </w:r>
    </w:p>
    <w:p>
      <w:pPr>
        <w:pStyle w:val="Standard"/>
        <w:jc w:val="both"/>
        <w:rPr>
          <w:rFonts w:ascii="Times New Roman" w:hAnsi="Times New Roman" w:cs="Times New Roman"/>
        </w:rPr>
      </w:pPr>
      <w:r>
        <w:rPr>
          <w:rFonts w:cs="Times New Roman" w:ascii="Times New Roman" w:hAnsi="Times New Roman"/>
        </w:rPr>
      </w:r>
    </w:p>
    <w:p>
      <w:pPr>
        <w:pStyle w:val="Standard"/>
        <w:jc w:val="both"/>
        <w:rPr/>
      </w:pPr>
      <w:r>
        <w:rPr>
          <w:rFonts w:cs="Times New Roman" w:ascii="Times New Roman" w:hAnsi="Times New Roman"/>
          <w:b/>
        </w:rPr>
        <w:t>4.2.</w:t>
      </w:r>
      <w:r>
        <w:rPr>
          <w:rFonts w:cs="Times New Roman" w:ascii="Times New Roman" w:hAnsi="Times New Roman"/>
        </w:rPr>
        <w:t xml:space="preserve"> O credenciamento, juntamente </w:t>
      </w:r>
      <w:r>
        <w:rPr>
          <w:rFonts w:cs="Times New Roman" w:ascii="Times New Roman" w:hAnsi="Times New Roman"/>
          <w:u w:val="single"/>
        </w:rPr>
        <w:t>com os documentos da sua comprovação</w:t>
      </w:r>
      <w:r>
        <w:rPr>
          <w:rFonts w:cs="Times New Roman" w:ascii="Times New Roman" w:hAnsi="Times New Roman"/>
        </w:rPr>
        <w:t xml:space="preserve">, </w:t>
      </w:r>
      <w:r>
        <w:rPr>
          <w:rFonts w:cs="Times New Roman" w:ascii="Times New Roman" w:hAnsi="Times New Roman"/>
          <w:u w:val="single"/>
        </w:rPr>
        <w:t>autenticados</w:t>
      </w:r>
      <w:r>
        <w:rPr>
          <w:rFonts w:cs="Times New Roman" w:ascii="Times New Roman" w:hAnsi="Times New Roman"/>
        </w:rPr>
        <w:t>, não será devolvido e deverá ser apresentado no início da sessão pública, fora do envelope de documentação.</w:t>
      </w:r>
    </w:p>
    <w:p>
      <w:pPr>
        <w:pStyle w:val="Standard"/>
        <w:ind w:left="284"/>
        <w:jc w:val="both"/>
        <w:rPr>
          <w:rFonts w:ascii="Times New Roman" w:hAnsi="Times New Roman" w:cs="Times New Roman"/>
          <w:b/>
        </w:rPr>
      </w:pPr>
      <w:r>
        <w:rPr>
          <w:rFonts w:cs="Times New Roman" w:ascii="Times New Roman" w:hAnsi="Times New Roman"/>
          <w:b/>
        </w:rPr>
      </w:r>
    </w:p>
    <w:p>
      <w:pPr>
        <w:pStyle w:val="Standard"/>
        <w:tabs>
          <w:tab w:val="clear" w:pos="709"/>
          <w:tab w:val="left" w:pos="8094" w:leader="none"/>
          <w:tab w:val="left" w:pos="9112" w:leader="none"/>
          <w:tab w:val="left" w:pos="9676" w:leader="none"/>
          <w:tab w:val="left" w:pos="10396" w:leader="none"/>
          <w:tab w:val="left" w:pos="11116" w:leader="none"/>
          <w:tab w:val="left" w:pos="11836" w:leader="none"/>
          <w:tab w:val="left" w:pos="12556" w:leader="none"/>
          <w:tab w:val="left" w:pos="13276" w:leader="none"/>
          <w:tab w:val="left" w:pos="13996" w:leader="none"/>
          <w:tab w:val="left" w:pos="14716" w:leader="none"/>
        </w:tabs>
        <w:jc w:val="both"/>
        <w:rPr/>
      </w:pPr>
      <w:r>
        <w:rPr>
          <w:rFonts w:cs="Times New Roman" w:ascii="Times New Roman" w:hAnsi="Times New Roman"/>
          <w:b/>
        </w:rPr>
        <w:t xml:space="preserve">4.3. </w:t>
      </w:r>
      <w:r>
        <w:rPr>
          <w:rFonts w:cs="Times New Roman" w:ascii="Times New Roman" w:hAnsi="Times New Roman"/>
        </w:rPr>
        <w:t xml:space="preserve">Cada credenciado poderá representar </w:t>
      </w:r>
      <w:r>
        <w:rPr>
          <w:rFonts w:cs="Times New Roman" w:ascii="Times New Roman" w:hAnsi="Times New Roman"/>
          <w:u w:val="single"/>
        </w:rPr>
        <w:t>apenas um participante</w:t>
      </w:r>
      <w:r>
        <w:rPr>
          <w:rFonts w:cs="Times New Roman" w:ascii="Times New Roman" w:hAnsi="Times New Roman"/>
        </w:rPr>
        <w:t>, o qual deverá estar munido de Documento de Identidade.</w:t>
      </w:r>
    </w:p>
    <w:p>
      <w:pPr>
        <w:pStyle w:val="Standard"/>
        <w:tabs>
          <w:tab w:val="clear" w:pos="709"/>
          <w:tab w:val="left" w:pos="16585" w:leader="none"/>
          <w:tab w:val="left" w:pos="17603" w:leader="none"/>
          <w:tab w:val="left" w:pos="18167" w:leader="none"/>
          <w:tab w:val="left" w:pos="18887" w:leader="none"/>
          <w:tab w:val="left" w:pos="19607" w:leader="none"/>
          <w:tab w:val="left" w:pos="20327" w:leader="none"/>
          <w:tab w:val="left" w:pos="21047" w:leader="none"/>
          <w:tab w:val="left" w:pos="21767" w:leader="none"/>
          <w:tab w:val="left" w:pos="22487" w:leader="none"/>
          <w:tab w:val="left" w:pos="23207" w:leader="none"/>
        </w:tabs>
        <w:ind w:left="567"/>
        <w:jc w:val="both"/>
        <w:rPr>
          <w:rFonts w:ascii="Times New Roman" w:hAnsi="Times New Roman" w:cs="Times New Roman"/>
        </w:rPr>
      </w:pPr>
      <w:r>
        <w:rPr>
          <w:rFonts w:cs="Times New Roman" w:ascii="Times New Roman" w:hAnsi="Times New Roman"/>
        </w:rPr>
      </w:r>
    </w:p>
    <w:p>
      <w:pPr>
        <w:pStyle w:val="Standard"/>
        <w:tabs>
          <w:tab w:val="clear" w:pos="709"/>
          <w:tab w:val="left" w:pos="16018" w:leader="none"/>
          <w:tab w:val="left" w:pos="17036" w:leader="none"/>
          <w:tab w:val="left" w:pos="17600" w:leader="none"/>
          <w:tab w:val="left" w:pos="18320" w:leader="none"/>
          <w:tab w:val="left" w:pos="19040" w:leader="none"/>
          <w:tab w:val="left" w:pos="19760" w:leader="none"/>
          <w:tab w:val="left" w:pos="20480" w:leader="none"/>
          <w:tab w:val="left" w:pos="21200" w:leader="none"/>
          <w:tab w:val="left" w:pos="21920" w:leader="none"/>
          <w:tab w:val="left" w:pos="22640" w:leader="none"/>
        </w:tabs>
        <w:jc w:val="both"/>
        <w:rPr/>
      </w:pPr>
      <w:r>
        <w:rPr>
          <w:rFonts w:cs="Times New Roman" w:ascii="Times New Roman" w:hAnsi="Times New Roman"/>
          <w:b/>
          <w:bCs/>
        </w:rPr>
        <w:t xml:space="preserve">4.4. </w:t>
      </w:r>
      <w:r>
        <w:rPr>
          <w:rFonts w:cs="Times New Roman" w:ascii="Times New Roman" w:hAnsi="Times New Roman"/>
        </w:rPr>
        <w:t>Caso ocorra a suspensão da sessão pública antes de cumpridas todas as fases preestabelecidas, será admitida na sessão de prosseguimento a substituição do representante da participante credenciada, aproveitando-se os documentos já entregues previamente, entretanto, será permitido apenas um representante legal por sessão.</w:t>
      </w:r>
    </w:p>
    <w:p>
      <w:pPr>
        <w:pStyle w:val="Standard"/>
        <w:tabs>
          <w:tab w:val="clear" w:pos="709"/>
          <w:tab w:val="left" w:pos="16302" w:leader="none"/>
          <w:tab w:val="left" w:pos="17320" w:leader="none"/>
          <w:tab w:val="left" w:pos="17884" w:leader="none"/>
          <w:tab w:val="left" w:pos="18604" w:leader="none"/>
          <w:tab w:val="left" w:pos="19324" w:leader="none"/>
          <w:tab w:val="left" w:pos="20044" w:leader="none"/>
          <w:tab w:val="left" w:pos="20764" w:leader="none"/>
          <w:tab w:val="left" w:pos="21484" w:leader="none"/>
          <w:tab w:val="left" w:pos="22204" w:leader="none"/>
          <w:tab w:val="left" w:pos="22924" w:leader="none"/>
        </w:tabs>
        <w:ind w:left="284"/>
        <w:jc w:val="both"/>
        <w:rPr>
          <w:rFonts w:ascii="Times New Roman" w:hAnsi="Times New Roman" w:cs="Times New Roman"/>
        </w:rPr>
      </w:pPr>
      <w:r>
        <w:rPr>
          <w:rFonts w:cs="Times New Roman" w:ascii="Times New Roman" w:hAnsi="Times New Roman"/>
        </w:rPr>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rPr/>
      </w:pPr>
      <w:r>
        <w:rPr>
          <w:rFonts w:cs="Times New Roman" w:ascii="Times New Roman" w:hAnsi="Times New Roman"/>
          <w:b/>
          <w:bCs/>
        </w:rPr>
        <w:t xml:space="preserve">4.5. </w:t>
      </w:r>
      <w:r>
        <w:rPr>
          <w:rFonts w:cs="Times New Roman" w:ascii="Times New Roman" w:hAnsi="Times New Roman"/>
        </w:rPr>
        <w:t>Tanto na Credencial como no Instrumento de Procuração (Público ou Particular) deverão constar, expressamente, os poderes para praticar todos os atos inerentes ao presente certame.</w:t>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cs="Times New Roman"/>
          <w:b/>
          <w:bCs/>
          <w:u w:val="single"/>
        </w:rPr>
      </w:pPr>
      <w:r>
        <w:rPr>
          <w:rFonts w:cs="Times New Roman" w:ascii="Times New Roman" w:hAnsi="Times New Roman"/>
          <w:b/>
          <w:bCs/>
          <w:u w:val="single"/>
        </w:rPr>
      </w:r>
    </w:p>
    <w:p>
      <w:pPr>
        <w:pStyle w:val="Heading1"/>
        <w:rPr/>
      </w:pPr>
      <w:bookmarkStart w:id="17" w:name="__RefHeading___Toc6452_3060003715"/>
      <w:bookmarkStart w:id="18" w:name="_Toc224628434"/>
      <w:bookmarkStart w:id="19" w:name="_Toc193803145"/>
      <w:bookmarkStart w:id="20" w:name="_Toc220503771"/>
      <w:bookmarkEnd w:id="17"/>
      <w:r>
        <w:rPr>
          <w:rFonts w:cs="Times New Roman" w:ascii="Times New Roman" w:hAnsi="Times New Roman"/>
          <w:sz w:val="24"/>
          <w:lang w:bidi="ar-SA"/>
        </w:rPr>
        <w:t>5. DA DOCUMENTAÇÃO - Envelope n.º 1</w:t>
      </w:r>
      <w:bookmarkEnd w:id="18"/>
      <w:bookmarkEnd w:id="19"/>
      <w:bookmarkEnd w:id="20"/>
    </w:p>
    <w:p>
      <w:pPr>
        <w:pStyle w:val="Standard"/>
        <w:numPr>
          <w:ilvl w:val="0"/>
          <w:numId w:val="5"/>
        </w:numPr>
        <w:tabs>
          <w:tab w:val="clear" w:pos="709"/>
          <w:tab w:val="left" w:pos="43" w:leader="none"/>
          <w:tab w:val="left" w:pos="763" w:leader="none"/>
          <w:tab w:val="left" w:pos="1483" w:leader="none"/>
          <w:tab w:val="left" w:pos="2203" w:leader="none"/>
          <w:tab w:val="left" w:pos="2923" w:leader="none"/>
          <w:tab w:val="left" w:pos="3643" w:leader="none"/>
          <w:tab w:val="left" w:pos="4363" w:leader="none"/>
          <w:tab w:val="left" w:pos="5083" w:leader="none"/>
          <w:tab w:val="left" w:pos="5803" w:leader="none"/>
        </w:tabs>
        <w:ind w:hanging="0" w:left="0"/>
        <w:rPr>
          <w:rFonts w:ascii="Times New Roman" w:hAnsi="Times New Roman" w:eastAsia="Times New Roman" w:cs="Times New Roman"/>
          <w:b/>
          <w:lang w:bidi="ar-SA"/>
        </w:rPr>
      </w:pPr>
      <w:r>
        <w:rPr>
          <w:rFonts w:eastAsia="Times New Roman" w:cs="Times New Roman" w:ascii="Times New Roman" w:hAnsi="Times New Roman"/>
          <w:b/>
          <w:lang w:bidi="ar-SA"/>
        </w:rPr>
      </w:r>
    </w:p>
    <w:p>
      <w:pPr>
        <w:pStyle w:val="Standard"/>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bidi="ar-SA"/>
        </w:rPr>
        <w:t>5.1.</w:t>
      </w:r>
      <w:r>
        <w:rPr>
          <w:rFonts w:eastAsia="ArialMT" w:cs="Times New Roman" w:ascii="Times New Roman" w:hAnsi="Times New Roman"/>
          <w:color w:val="000000"/>
          <w:lang w:bidi="ar-SA"/>
        </w:rPr>
        <w:t xml:space="preserve"> Como condição prévia ao exame da documentação de habilitação </w:t>
      </w:r>
      <w:r>
        <w:rPr>
          <w:rFonts w:eastAsia="ArialMT" w:cs="Times New Roman" w:ascii="Times New Roman" w:hAnsi="Times New Roman"/>
          <w:color w:val="000000"/>
          <w:lang w:eastAsia="ar-SA" w:bidi="ar-SA"/>
        </w:rPr>
        <w:t>da(s) participante(s)</w:t>
      </w:r>
      <w:r>
        <w:rPr>
          <w:rFonts w:eastAsia="ArialMT" w:cs="Times New Roman" w:ascii="Times New Roman" w:hAnsi="Times New Roman"/>
          <w:color w:val="000000"/>
          <w:lang w:bidi="ar-SA"/>
        </w:rPr>
        <w:t xml:space="preserve">, será verificado o eventual descumprimento das condições de participação, especialmente quanto à existência de sanção que impeça a participação no certame ou a futura contratação, mediante a consulta </w:t>
      </w:r>
      <w:r>
        <w:rPr>
          <w:rFonts w:eastAsia="ArialMT" w:cs="Times New Roman" w:ascii="Times New Roman" w:hAnsi="Times New Roman"/>
          <w:lang w:bidi="ar-SA"/>
        </w:rPr>
        <w:t xml:space="preserve">online pela Comissão de Agentes de Contratação </w:t>
      </w:r>
      <w:r>
        <w:rPr>
          <w:rFonts w:eastAsia="ArialMT" w:cs="Times New Roman" w:ascii="Times New Roman" w:hAnsi="Times New Roman"/>
          <w:color w:val="000000"/>
          <w:lang w:bidi="ar-SA"/>
        </w:rPr>
        <w:t>aos seguintes cadastros:</w:t>
      </w:r>
    </w:p>
    <w:p>
      <w:pPr>
        <w:pStyle w:val="Standard"/>
        <w:tabs>
          <w:tab w:val="clear" w:pos="709"/>
          <w:tab w:val="left" w:pos="860"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4"/>
        <w:jc w:val="both"/>
        <w:rPr>
          <w:rFonts w:ascii="Times New Roman" w:hAnsi="Times New Roman" w:cs="Times New Roman"/>
        </w:rPr>
      </w:pPr>
      <w:r>
        <w:rPr>
          <w:rFonts w:cs="Times New Roman" w:ascii="Times New Roman" w:hAnsi="Times New Roman"/>
        </w:rPr>
      </w:r>
    </w:p>
    <w:p>
      <w:pPr>
        <w:pStyle w:val="Standard"/>
        <w:widowControl w:val="false"/>
        <w:tabs>
          <w:tab w:val="clear" w:pos="709"/>
          <w:tab w:val="left" w:pos="57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pPr>
      <w:r>
        <w:rPr>
          <w:rFonts w:cs="Times New Roman" w:ascii="Times New Roman" w:hAnsi="Times New Roman"/>
          <w:b/>
          <w:bCs/>
        </w:rPr>
        <w:t xml:space="preserve">a) </w:t>
      </w:r>
      <w:r>
        <w:rPr>
          <w:rFonts w:eastAsia="Times New Roman" w:cs="Times New Roman" w:ascii="Times New Roman" w:hAnsi="Times New Roman"/>
        </w:rPr>
        <w:t xml:space="preserve">Cadastro Nacional de Pessoas Jurídicas do Ministério da Fazenda (CNPJ-MF), conforme Instrução Normativa da </w:t>
      </w:r>
      <w:r>
        <w:rPr>
          <w:rStyle w:val="StrongEmphasis"/>
          <w:rFonts w:eastAsia="Times New Roman" w:cs="Times New Roman" w:ascii="Times New Roman" w:hAnsi="Times New Roman"/>
          <w:b w:val="false"/>
          <w:bCs w:val="false"/>
        </w:rPr>
        <w:t xml:space="preserve">RFB n.º 2.119, de </w:t>
      </w:r>
      <w:bookmarkStart w:id="21" w:name="OBJ_PREFIX_DWT57_com_zimbra_date"/>
      <w:bookmarkEnd w:id="21"/>
      <w:r>
        <w:rPr>
          <w:rStyle w:val="StrongEmphasis"/>
          <w:rFonts w:eastAsia="Times New Roman" w:cs="Times New Roman" w:ascii="Times New Roman" w:hAnsi="Times New Roman"/>
          <w:b w:val="false"/>
          <w:bCs w:val="false"/>
        </w:rPr>
        <w:t>06 de dezembro de 2022;</w:t>
      </w:r>
    </w:p>
    <w:p>
      <w:pPr>
        <w:pStyle w:val="Standard"/>
        <w:widowControl w:val="false"/>
        <w:tabs>
          <w:tab w:val="clear" w:pos="709"/>
          <w:tab w:val="left" w:pos="57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eastAsia="Times New Roman" w:cs="Times New Roman"/>
        </w:rPr>
      </w:pPr>
      <w:r>
        <w:rPr>
          <w:rFonts w:eastAsia="Times New Roman" w:cs="Times New Roman" w:ascii="Times New Roman" w:hAnsi="Times New Roman"/>
        </w:rPr>
      </w:r>
    </w:p>
    <w:p>
      <w:pPr>
        <w:pStyle w:val="Standard"/>
        <w:widowControl w:val="false"/>
        <w:tabs>
          <w:tab w:val="clear" w:pos="709"/>
          <w:tab w:val="left" w:pos="57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pPr>
      <w:r>
        <w:rPr>
          <w:rFonts w:eastAsia="Times New Roman" w:cs="Times New Roman" w:ascii="Times New Roman" w:hAnsi="Times New Roman"/>
          <w:b/>
          <w:bCs/>
        </w:rPr>
        <w:t xml:space="preserve">b) </w:t>
      </w:r>
      <w:r>
        <w:rPr>
          <w:rFonts w:cs="Times New Roman" w:ascii="Times New Roman" w:hAnsi="Times New Roman"/>
        </w:rPr>
        <w:t xml:space="preserve">Sistema Integrado de Registro do </w:t>
      </w:r>
      <w:r>
        <w:rPr>
          <w:rStyle w:val="StrongEmphasis"/>
          <w:rFonts w:cs="Times New Roman" w:ascii="Times New Roman" w:hAnsi="Times New Roman"/>
          <w:b w:val="false"/>
          <w:bCs w:val="false"/>
        </w:rPr>
        <w:t xml:space="preserve">Cadastro Nacional de Empresas Inidôneas e Suspensas – CEIS e do </w:t>
      </w:r>
      <w:r>
        <w:rPr>
          <w:rFonts w:cs="Times New Roman" w:ascii="Times New Roman" w:hAnsi="Times New Roman"/>
        </w:rPr>
        <w:t xml:space="preserve">Cadastro Nacional de </w:t>
      </w:r>
      <w:r>
        <w:rPr>
          <w:rStyle w:val="StrongEmphasis"/>
          <w:rFonts w:cs="Times New Roman" w:ascii="Times New Roman" w:hAnsi="Times New Roman"/>
          <w:b w:val="false"/>
          <w:bCs w:val="false"/>
        </w:rPr>
        <w:t>Empresas Punidas – CNEP (Portal da Transparência), conforme disposto nos artigos 22 e 23 da Lei Federal n.° 12.846/2013 (Lei Anticorrupção);</w:t>
      </w:r>
    </w:p>
    <w:p>
      <w:pPr>
        <w:pStyle w:val="Standard"/>
        <w:widowControl w:val="false"/>
        <w:tabs>
          <w:tab w:val="clear" w:pos="709"/>
          <w:tab w:val="left" w:pos="57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shd w:fill="ED1C24" w:val="clear"/>
        </w:rPr>
      </w:pPr>
      <w:r>
        <w:rPr>
          <w:rFonts w:cs="Times New Roman" w:ascii="Times New Roman" w:hAnsi="Times New Roman"/>
          <w:shd w:fill="ED1C24" w:val="clear"/>
        </w:rPr>
      </w:r>
    </w:p>
    <w:p>
      <w:pPr>
        <w:pStyle w:val="Standard"/>
        <w:widowControl w:val="false"/>
        <w:tabs>
          <w:tab w:val="clear" w:pos="709"/>
          <w:tab w:val="left" w:pos="57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pPr>
      <w:r>
        <w:rPr>
          <w:rStyle w:val="StrongEmphasis"/>
          <w:rFonts w:cs="Times New Roman" w:ascii="Times New Roman" w:hAnsi="Times New Roman"/>
        </w:rPr>
        <w:t>c)</w:t>
      </w:r>
      <w:r>
        <w:rPr>
          <w:rStyle w:val="StrongEmphasis"/>
          <w:rFonts w:cs="Times New Roman" w:ascii="Times New Roman" w:hAnsi="Times New Roman"/>
          <w:b w:val="false"/>
          <w:bCs w:val="false"/>
        </w:rPr>
        <w:t xml:space="preserve"> Cadastro Nacional de Condenações Cíveis por Atos de Improbidade Administrativa e Inelegibilidade - CNCIA, mantido pelo Conselho Nacional de Justiça – CNJ, no endereço eletrônico </w:t>
      </w:r>
      <w:hyperlink r:id="rId2">
        <w:r>
          <w:rPr>
            <w:rStyle w:val="Style4"/>
            <w:rFonts w:cs="Times New Roman" w:ascii="Times New Roman" w:hAnsi="Times New Roman"/>
            <w:b/>
            <w:b/>
            <w:bCs/>
          </w:rPr>
          <w:t>www.cnj.jus.br/improbidade_adm/consultar_requerido.php</w:t>
        </w:r>
      </w:hyperlink>
      <w:r>
        <w:rPr>
          <w:rStyle w:val="StrongEmphasis"/>
          <w:rFonts w:eastAsia="Calibri" w:cs="Times New Roman" w:ascii="Times New Roman" w:hAnsi="Times New Roman"/>
          <w:b w:val="false"/>
          <w:bCs w:val="false"/>
        </w:rPr>
        <w:t>;</w:t>
      </w:r>
    </w:p>
    <w:p>
      <w:pPr>
        <w:pStyle w:val="Standard"/>
        <w:widowControl w:val="false"/>
        <w:tabs>
          <w:tab w:val="clear" w:pos="709"/>
          <w:tab w:val="left" w:pos="57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rFonts w:ascii="Times New Roman" w:hAnsi="Times New Roman" w:cs="Times New Roman"/>
          <w:shd w:fill="ED1C24" w:val="clear"/>
        </w:rPr>
      </w:pPr>
      <w:r>
        <w:rPr>
          <w:rFonts w:cs="Times New Roman" w:ascii="Times New Roman" w:hAnsi="Times New Roman"/>
          <w:shd w:fill="ED1C24" w:val="clear"/>
        </w:rPr>
      </w:r>
    </w:p>
    <w:p>
      <w:pPr>
        <w:pStyle w:val="Standard"/>
        <w:widowControl w:val="false"/>
        <w:tabs>
          <w:tab w:val="clear" w:pos="709"/>
          <w:tab w:val="left" w:pos="57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pPr>
      <w:r>
        <w:rPr>
          <w:rStyle w:val="StrongEmphasis"/>
          <w:rFonts w:eastAsia="Calibri" w:cs="Times New Roman" w:ascii="Times New Roman" w:hAnsi="Times New Roman"/>
        </w:rPr>
        <w:t>d)</w:t>
      </w:r>
      <w:r>
        <w:rPr>
          <w:rStyle w:val="StrongEmphasis"/>
          <w:rFonts w:eastAsia="Calibri" w:cs="Times New Roman" w:ascii="Times New Roman" w:hAnsi="Times New Roman"/>
          <w:b w:val="false"/>
          <w:bCs w:val="false"/>
        </w:rPr>
        <w:t xml:space="preserve"> Lista de Inidôneos mantida pelo Tribunal de Contas da União – TCU.</w:t>
      </w:r>
    </w:p>
    <w:p>
      <w:pPr>
        <w:pStyle w:val="Standard"/>
        <w:keepLines/>
        <w:widowControl w:val="false"/>
        <w:tabs>
          <w:tab w:val="clear" w:pos="709"/>
          <w:tab w:val="left" w:pos="309" w:leader="none"/>
          <w:tab w:val="left" w:pos="1029" w:leader="none"/>
          <w:tab w:val="left" w:pos="1749" w:leader="none"/>
          <w:tab w:val="left" w:pos="2469" w:leader="none"/>
          <w:tab w:val="left" w:pos="3189" w:leader="none"/>
          <w:tab w:val="left" w:pos="3909" w:leader="none"/>
          <w:tab w:val="left" w:pos="4629" w:leader="none"/>
          <w:tab w:val="left" w:pos="5349" w:leader="none"/>
          <w:tab w:val="left" w:pos="6069" w:leader="none"/>
          <w:tab w:val="left" w:pos="6789" w:leader="none"/>
        </w:tabs>
        <w:ind w:left="21"/>
        <w:jc w:val="both"/>
        <w:rPr>
          <w:rFonts w:ascii="Times New Roman" w:hAnsi="Times New Roman" w:cs="Times New Roman"/>
        </w:rPr>
      </w:pPr>
      <w:r>
        <w:rPr>
          <w:rFonts w:cs="Times New Roman" w:ascii="Times New Roman" w:hAnsi="Times New Roman"/>
        </w:rPr>
      </w:r>
    </w:p>
    <w:p>
      <w:pPr>
        <w:pStyle w:val="Standard"/>
        <w:keepLines/>
        <w:widowControl w:val="false"/>
        <w:tabs>
          <w:tab w:val="clear" w:pos="709"/>
          <w:tab w:val="left" w:pos="571" w:leader="none"/>
          <w:tab w:val="left" w:pos="2011" w:leader="none"/>
          <w:tab w:val="left" w:pos="2731" w:leader="none"/>
          <w:tab w:val="left" w:pos="3451" w:leader="none"/>
          <w:tab w:val="left" w:pos="4171" w:leader="none"/>
          <w:tab w:val="left" w:pos="4891" w:leader="none"/>
          <w:tab w:val="left" w:pos="5611" w:leader="none"/>
          <w:tab w:val="left" w:pos="6331" w:leader="none"/>
          <w:tab w:val="left" w:pos="7051" w:leader="none"/>
        </w:tabs>
        <w:ind w:left="283"/>
        <w:jc w:val="both"/>
        <w:rPr/>
      </w:pPr>
      <w:r>
        <w:rPr>
          <w:rFonts w:eastAsia="ArialMT" w:cs="Times New Roman" w:ascii="Times New Roman" w:hAnsi="Times New Roman"/>
          <w:b/>
          <w:bCs/>
          <w:lang w:eastAsia="ar-SA" w:bidi="ar-SA"/>
        </w:rPr>
        <w:t>5.2.1.</w:t>
      </w:r>
      <w:r>
        <w:rPr>
          <w:rFonts w:eastAsia="ArialMT" w:cs="Times New Roman" w:ascii="Times New Roman" w:hAnsi="Times New Roman"/>
          <w:lang w:eastAsia="ar-SA" w:bidi="ar-SA"/>
        </w:rPr>
        <w:t xml:space="preserve"> As consultas previstas no subitem acima realizar-se-ão em nome da(s) participante(s) e também de eventual matriz ou filial e de seu sócio majoritário.</w:t>
      </w:r>
    </w:p>
    <w:p>
      <w:pPr>
        <w:pStyle w:val="Standard"/>
        <w:widowControl w:val="false"/>
        <w:tabs>
          <w:tab w:val="clear" w:pos="709"/>
          <w:tab w:val="left" w:pos="28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
          <w:lang w:eastAsia="ar-SA" w:bidi="ar-SA"/>
        </w:rPr>
      </w:pPr>
      <w:r>
        <w:rPr>
          <w:rFonts w:eastAsia="ArialMT" w:cs="Times New Roman" w:ascii="Times New Roman" w:hAnsi="Times New Roman"/>
          <w:b/>
          <w:lang w:eastAsia="ar-SA" w:bidi="ar-SA"/>
        </w:rPr>
      </w:r>
    </w:p>
    <w:p>
      <w:pPr>
        <w:pStyle w:val="Standard"/>
        <w:keepLines/>
        <w:widowControl w:val="false"/>
        <w:tabs>
          <w:tab w:val="clear" w:pos="709"/>
          <w:tab w:val="left" w:pos="8607" w:leader="none"/>
          <w:tab w:val="left" w:pos="8987" w:leader="none"/>
          <w:tab w:val="left" w:pos="9551" w:leader="none"/>
          <w:tab w:val="left" w:pos="10271" w:leader="none"/>
          <w:tab w:val="left" w:pos="10991" w:leader="none"/>
          <w:tab w:val="left" w:pos="11711" w:leader="none"/>
          <w:tab w:val="left" w:pos="12431" w:leader="none"/>
          <w:tab w:val="left" w:pos="13151" w:leader="none"/>
          <w:tab w:val="left" w:pos="13871" w:leader="none"/>
          <w:tab w:val="left" w:pos="14591" w:leader="none"/>
        </w:tabs>
        <w:ind w:left="567"/>
        <w:jc w:val="both"/>
        <w:textAlignment w:val="top"/>
        <w:rPr/>
      </w:pPr>
      <w:r>
        <w:rPr>
          <w:rFonts w:eastAsia="ArialMT" w:cs="Times New Roman" w:ascii="Times New Roman" w:hAnsi="Times New Roman"/>
          <w:b/>
          <w:bCs/>
          <w:lang w:eastAsia="ar-SA" w:bidi="ar-SA"/>
        </w:rPr>
        <w:t xml:space="preserve">5.2.1.1. </w:t>
      </w:r>
      <w:r>
        <w:rPr>
          <w:rFonts w:eastAsia="ArialMT" w:cs="Times New Roman" w:ascii="Times New Roman" w:hAnsi="Times New Roman"/>
          <w:lang w:eastAsia="ar-SA" w:bidi="ar-SA"/>
        </w:rPr>
        <w:t>Para a(s) participante(s) pessoas jurídicas poderá haver a substituição das consultas das alíneas “b” a “d” acima pela Consulta Consolidada de Pessoa Jurídica do TCU (</w:t>
      </w:r>
      <w:hyperlink r:id="rId3">
        <w:r>
          <w:rPr>
            <w:rStyle w:val="Style4"/>
            <w:rFonts w:eastAsia="ArialMT" w:cs="Times New Roman" w:ascii="Times New Roman" w:hAnsi="Times New Roman"/>
            <w:b/>
            <w:bCs/>
            <w:u w:val="single"/>
            <w:lang w:eastAsia="ar-SA" w:bidi="ar-SA"/>
          </w:rPr>
          <w:t>https://certidoes-apf.apps.tcu.gov.br/</w:t>
        </w:r>
      </w:hyperlink>
      <w:r>
        <w:rPr>
          <w:rFonts w:eastAsia="ArialMT" w:cs="Times New Roman" w:ascii="Times New Roman" w:hAnsi="Times New Roman"/>
          <w:lang w:eastAsia="ar-SA" w:bidi="ar-SA"/>
        </w:rPr>
        <w:t>).</w:t>
      </w:r>
    </w:p>
    <w:p>
      <w:pPr>
        <w:pStyle w:val="Standard"/>
        <w:widowControl w:val="false"/>
        <w:tabs>
          <w:tab w:val="clear" w:pos="709"/>
          <w:tab w:val="left" w:pos="28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keepLines/>
        <w:widowControl w:val="false"/>
        <w:tabs>
          <w:tab w:val="clear" w:pos="709"/>
          <w:tab w:val="left" w:pos="288" w:leader="none"/>
          <w:tab w:val="left" w:pos="860"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bidi="ar-SA"/>
        </w:rPr>
        <w:t>5.3. Para habilitação da(s) participante(s) serão exigidos os documentos previstos no ITEM 3, DO</w:t>
      </w:r>
      <w:r>
        <w:rPr>
          <w:rFonts w:eastAsia="Arial, sans-serif" w:cs="Times New Roman" w:ascii="Times New Roman" w:hAnsi="Times New Roman"/>
          <w:b/>
          <w:bCs/>
          <w:color w:val="000000"/>
          <w:lang w:bidi="ar-SA"/>
        </w:rPr>
        <w:t xml:space="preserve"> ANEXO I DO TERMO DE REFERÊNCIA </w:t>
      </w:r>
      <w:r>
        <w:rPr>
          <w:rFonts w:eastAsia="Arial, sans-serif" w:cs="Times New Roman" w:ascii="Times New Roman" w:hAnsi="Times New Roman"/>
          <w:color w:val="000000"/>
          <w:lang w:bidi="ar-SA"/>
        </w:rPr>
        <w:t>(</w:t>
      </w:r>
      <w:r>
        <w:rPr>
          <w:rFonts w:eastAsia="ArialMT" w:cs="Times New Roman" w:ascii="Times New Roman" w:hAnsi="Times New Roman"/>
          <w:lang w:eastAsia="ar-SA" w:bidi="ar-SA"/>
        </w:rPr>
        <w:t>FORMA E CRITÉRIOS DE SELEÇÃO DA(S) PARTICIPANTE(S))</w:t>
      </w:r>
      <w:r>
        <w:rPr>
          <w:rFonts w:eastAsia="ArialMT" w:cs="Times New Roman" w:ascii="Times New Roman" w:hAnsi="Times New Roman"/>
          <w:color w:val="000000"/>
          <w:lang w:bidi="ar-SA"/>
        </w:rPr>
        <w:t>,</w:t>
      </w:r>
      <w:r>
        <w:rPr>
          <w:rFonts w:eastAsia="ArialMT" w:cs="Times New Roman" w:ascii="Times New Roman" w:hAnsi="Times New Roman"/>
          <w:b/>
          <w:bCs/>
          <w:color w:val="000000"/>
          <w:lang w:bidi="ar-SA"/>
        </w:rPr>
        <w:t xml:space="preserve"> </w:t>
      </w:r>
      <w:r>
        <w:rPr>
          <w:rFonts w:eastAsia="ArialMT" w:cs="Times New Roman" w:ascii="Times New Roman" w:hAnsi="Times New Roman"/>
          <w:color w:val="000000"/>
          <w:lang w:bidi="ar-SA"/>
        </w:rPr>
        <w:t>necessários e suficientes para demonstrar a capacidade da interessada de realizar o objeto da contratação, nos termos do disposto nos artigos 62 ao 70 da Lei n.º 14.133, de 2021.</w:t>
      </w:r>
    </w:p>
    <w:p>
      <w:pPr>
        <w:pStyle w:val="Standard"/>
        <w:widowControl w:val="false"/>
        <w:tabs>
          <w:tab w:val="clear" w:pos="709"/>
          <w:tab w:val="left" w:pos="860"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firstLine="284"/>
        <w:jc w:val="both"/>
        <w:textAlignment w:val="top"/>
        <w:rPr>
          <w:rFonts w:ascii="Times New Roman" w:hAnsi="Times New Roman" w:eastAsia="ArialMT" w:cs="Times New Roman"/>
          <w:shd w:fill="FFFF00" w:val="clear"/>
          <w:lang w:bidi="ar-SA"/>
        </w:rPr>
      </w:pPr>
      <w:r>
        <w:rPr>
          <w:rFonts w:eastAsia="ArialMT" w:cs="Times New Roman" w:ascii="Times New Roman" w:hAnsi="Times New Roman"/>
          <w:shd w:fill="FFFF00" w:val="clear"/>
          <w:lang w:bidi="ar-SA"/>
        </w:rPr>
      </w:r>
    </w:p>
    <w:p>
      <w:pPr>
        <w:pStyle w:val="Standard"/>
        <w:keepLines/>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Times New Roman" w:cs="Times New Roman" w:ascii="Times New Roman" w:hAnsi="Times New Roman"/>
          <w:b/>
          <w:bCs/>
          <w:lang w:bidi="ar-SA"/>
        </w:rPr>
        <w:t xml:space="preserve">5.4. </w:t>
      </w:r>
      <w:r>
        <w:rPr>
          <w:rFonts w:eastAsia="Times New Roman" w:cs="Times New Roman" w:ascii="Times New Roman" w:hAnsi="Times New Roman"/>
          <w:lang w:bidi="ar-SA"/>
        </w:rPr>
        <w:t>Após a entrega dos documentos de habilitação, fica vedada a substituição ou apresentação de novos documentos, exceto em fase de diligência para:</w:t>
      </w:r>
    </w:p>
    <w:p>
      <w:pPr>
        <w:pStyle w:val="Standard"/>
        <w:tabs>
          <w:tab w:val="clear" w:pos="709"/>
          <w:tab w:val="left" w:pos="1370"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s>
        <w:ind w:left="510"/>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keepLines/>
        <w:tabs>
          <w:tab w:val="clear" w:pos="709"/>
          <w:tab w:val="left" w:pos="1143" w:leader="none"/>
          <w:tab w:val="left" w:pos="1587" w:leader="none"/>
          <w:tab w:val="left" w:pos="2307" w:leader="none"/>
          <w:tab w:val="left" w:pos="3027" w:leader="none"/>
          <w:tab w:val="left" w:pos="3747" w:leader="none"/>
          <w:tab w:val="left" w:pos="4467" w:leader="none"/>
          <w:tab w:val="left" w:pos="5187" w:leader="none"/>
          <w:tab w:val="left" w:pos="5907" w:leader="none"/>
          <w:tab w:val="left" w:pos="6627" w:leader="none"/>
          <w:tab w:val="left" w:pos="7347" w:leader="none"/>
        </w:tabs>
        <w:ind w:left="283"/>
        <w:jc w:val="both"/>
        <w:textAlignment w:val="top"/>
        <w:rPr/>
      </w:pPr>
      <w:r>
        <w:rPr>
          <w:rFonts w:eastAsia="Times New Roman" w:cs="Times New Roman" w:ascii="Times New Roman" w:hAnsi="Times New Roman"/>
          <w:b/>
          <w:bCs/>
          <w:lang w:bidi="ar-SA"/>
        </w:rPr>
        <w:t xml:space="preserve">a) </w:t>
      </w:r>
      <w:r>
        <w:rPr>
          <w:rFonts w:eastAsia="Times New Roman" w:cs="Times New Roman" w:ascii="Times New Roman" w:hAnsi="Times New Roman"/>
          <w:lang w:bidi="ar-SA"/>
        </w:rPr>
        <w:t>complementação de informações acerca dos documentos já apresentados pela(s) participante(s) desde que necessária para apurar fatos existentes à época da abertura do certame; ou</w:t>
      </w:r>
    </w:p>
    <w:p>
      <w:pPr>
        <w:pStyle w:val="Standard"/>
        <w:tabs>
          <w:tab w:val="clear" w:pos="709"/>
          <w:tab w:val="left" w:pos="1370"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s>
        <w:ind w:left="510"/>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keepLines/>
        <w:tabs>
          <w:tab w:val="clear" w:pos="709"/>
          <w:tab w:val="left" w:pos="1143" w:leader="none"/>
          <w:tab w:val="left" w:pos="1587" w:leader="none"/>
          <w:tab w:val="left" w:pos="2307" w:leader="none"/>
          <w:tab w:val="left" w:pos="3027" w:leader="none"/>
          <w:tab w:val="left" w:pos="3747" w:leader="none"/>
          <w:tab w:val="left" w:pos="4467" w:leader="none"/>
          <w:tab w:val="left" w:pos="5187" w:leader="none"/>
          <w:tab w:val="left" w:pos="5907" w:leader="none"/>
          <w:tab w:val="left" w:pos="6627" w:leader="none"/>
          <w:tab w:val="left" w:pos="7347" w:leader="none"/>
        </w:tabs>
        <w:ind w:left="283"/>
        <w:jc w:val="both"/>
        <w:textAlignment w:val="top"/>
        <w:rPr/>
      </w:pPr>
      <w:r>
        <w:rPr>
          <w:rFonts w:eastAsia="Times New Roman" w:cs="Times New Roman" w:ascii="Times New Roman" w:hAnsi="Times New Roman"/>
          <w:b/>
          <w:bCs/>
          <w:lang w:bidi="ar-SA"/>
        </w:rPr>
        <w:t xml:space="preserve">b) </w:t>
      </w:r>
      <w:r>
        <w:rPr>
          <w:rFonts w:eastAsia="Times New Roman" w:cs="Times New Roman" w:ascii="Times New Roman" w:hAnsi="Times New Roman"/>
          <w:lang w:bidi="ar-SA"/>
        </w:rPr>
        <w:t>atualização de documentos cuja validade tenha expirado após a data de recebimento da documentação; ou</w:t>
      </w:r>
    </w:p>
    <w:p>
      <w:pPr>
        <w:pStyle w:val="Standard"/>
        <w:tabs>
          <w:tab w:val="clear" w:pos="709"/>
          <w:tab w:val="left" w:pos="1143" w:leader="none"/>
          <w:tab w:val="left" w:pos="1587" w:leader="none"/>
          <w:tab w:val="left" w:pos="2307" w:leader="none"/>
          <w:tab w:val="left" w:pos="3027" w:leader="none"/>
          <w:tab w:val="left" w:pos="3747" w:leader="none"/>
          <w:tab w:val="left" w:pos="4467" w:leader="none"/>
          <w:tab w:val="left" w:pos="5187" w:leader="none"/>
          <w:tab w:val="left" w:pos="5907" w:leader="none"/>
          <w:tab w:val="left" w:pos="6627" w:leader="none"/>
          <w:tab w:val="left" w:pos="7347" w:leader="none"/>
        </w:tabs>
        <w:ind w:left="283"/>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widowControl w:val="false"/>
        <w:tabs>
          <w:tab w:val="clear" w:pos="709"/>
          <w:tab w:val="left" w:pos="8323" w:leader="none"/>
          <w:tab w:val="left" w:pos="8703" w:leader="none"/>
          <w:tab w:val="left" w:pos="9267" w:leader="none"/>
          <w:tab w:val="left" w:pos="9987" w:leader="none"/>
          <w:tab w:val="left" w:pos="10707" w:leader="none"/>
          <w:tab w:val="left" w:pos="11427" w:leader="none"/>
          <w:tab w:val="left" w:pos="12147" w:leader="none"/>
          <w:tab w:val="left" w:pos="12867" w:leader="none"/>
          <w:tab w:val="left" w:pos="13587" w:leader="none"/>
          <w:tab w:val="left" w:pos="14307" w:leader="none"/>
        </w:tabs>
        <w:ind w:left="283"/>
        <w:jc w:val="both"/>
        <w:textAlignment w:val="top"/>
        <w:rPr/>
      </w:pPr>
      <w:r>
        <w:rPr>
          <w:rFonts w:eastAsia="ArialMT" w:cs="Times New Roman" w:ascii="Times New Roman" w:hAnsi="Times New Roman"/>
          <w:b/>
          <w:bCs/>
          <w:lang w:bidi="ar-SA"/>
        </w:rPr>
        <w:t xml:space="preserve">c) </w:t>
      </w:r>
      <w:r>
        <w:rPr>
          <w:rFonts w:eastAsia="ArialMT" w:cs="Times New Roman" w:ascii="Times New Roman" w:hAnsi="Times New Roman"/>
          <w:color w:val="000000"/>
          <w:lang w:bidi="ar-SA"/>
        </w:rPr>
        <w:t>juntada de documentos que venham a atestar condição pré-existente à abertura da sessão pública do certame, que não foram juntados com os demais comprovantes de habilitação, por equívoco ou falha, sendo que a juntada deverá ser solicitada e os documentos avaliados pelo Agente ou Comissão de Contratação, quando o substituir (Acórdão TCU n.º 1.211/2021, Plenário).</w:t>
      </w:r>
    </w:p>
    <w:p>
      <w:pPr>
        <w:pStyle w:val="Standard"/>
        <w:tabs>
          <w:tab w:val="clear" w:pos="709"/>
          <w:tab w:val="left" w:pos="1370"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s>
        <w:ind w:left="510"/>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keepLines/>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Times New Roman" w:cs="Times New Roman" w:ascii="Times New Roman" w:hAnsi="Times New Roman"/>
          <w:b/>
          <w:bCs/>
          <w:lang w:bidi="ar-SA"/>
        </w:rPr>
        <w:t>5.5.</w:t>
      </w:r>
      <w:r>
        <w:rPr>
          <w:rFonts w:eastAsia="Times New Roman" w:cs="Times New Roman" w:ascii="Times New Roman" w:hAnsi="Times New Roman"/>
          <w:lang w:bidi="ar-SA"/>
        </w:rPr>
        <w:t xml:space="preserve"> A verificação pela </w:t>
      </w:r>
      <w:r>
        <w:rPr>
          <w:rStyle w:val="Internetlink"/>
          <w:rFonts w:cs="Times New Roman" w:ascii="Times New Roman" w:hAnsi="Times New Roman"/>
          <w:color w:val="auto"/>
          <w:u w:val="none"/>
          <w:lang w:bidi="ar-SA"/>
        </w:rPr>
        <w:t>Comissão de Agentes de Contratação</w:t>
      </w:r>
      <w:r>
        <w:rPr>
          <w:rFonts w:eastAsia="Times New Roman" w:cs="Times New Roman" w:ascii="Times New Roman" w:hAnsi="Times New Roman"/>
          <w:lang w:bidi="ar-SA"/>
        </w:rPr>
        <w:t>, em sítios eletrônicos oficiais de órgãos e entidades emissores de certidões, constitui meio legal de prova para fins de habilitação.</w:t>
      </w:r>
    </w:p>
    <w:p>
      <w:pPr>
        <w:pStyle w:val="Standard"/>
        <w:tabs>
          <w:tab w:val="clear" w:pos="709"/>
          <w:tab w:val="left" w:pos="1370"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s>
        <w:ind w:left="510"/>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keepLines/>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Times New Roman" w:cs="Times New Roman" w:ascii="Times New Roman" w:hAnsi="Times New Roman"/>
          <w:b/>
          <w:bCs/>
          <w:lang w:bidi="ar-SA"/>
        </w:rPr>
        <w:t>5.6.</w:t>
      </w:r>
      <w:r>
        <w:rPr>
          <w:rFonts w:eastAsia="Times New Roman" w:cs="Times New Roman" w:ascii="Times New Roman" w:hAnsi="Times New Roman"/>
          <w:lang w:bidi="ar-SA"/>
        </w:rPr>
        <w:t xml:space="preserve"> Na análise dos documentos de habilitação, a </w:t>
      </w:r>
      <w:r>
        <w:rPr>
          <w:rStyle w:val="Internetlink"/>
          <w:rFonts w:cs="Times New Roman" w:ascii="Times New Roman" w:hAnsi="Times New Roman"/>
          <w:color w:val="auto"/>
          <w:u w:val="none"/>
          <w:lang w:bidi="ar-SA"/>
        </w:rPr>
        <w:t>Comissão de Agentes de Contratação</w:t>
      </w:r>
      <w:r>
        <w:rPr>
          <w:rFonts w:eastAsia="Times New Roman" w:cs="Times New Roman" w:ascii="Times New Roman" w:hAnsi="Times New Roman"/>
          <w:lang w:bidi="ar-SA"/>
        </w:rPr>
        <w:t xml:space="preserve"> poderá sanar erros ou falhas que não alterarem a sua substância ou validade jurídica, atribuindo-lhes eficácia para fins de habilitação, observada a possibilidade de convalidação dos atos pela própria Administração.</w:t>
      </w:r>
    </w:p>
    <w:p>
      <w:pPr>
        <w:pStyle w:val="Standard"/>
        <w:tabs>
          <w:tab w:val="clear" w:pos="709"/>
          <w:tab w:val="left" w:pos="1370" w:leader="none"/>
          <w:tab w:val="left" w:pos="1814" w:leader="none"/>
          <w:tab w:val="left" w:pos="2534" w:leader="none"/>
          <w:tab w:val="left" w:pos="3254" w:leader="none"/>
          <w:tab w:val="left" w:pos="3974" w:leader="none"/>
          <w:tab w:val="left" w:pos="4694" w:leader="none"/>
          <w:tab w:val="left" w:pos="5414" w:leader="none"/>
          <w:tab w:val="left" w:pos="6134" w:leader="none"/>
          <w:tab w:val="left" w:pos="6854" w:leader="none"/>
          <w:tab w:val="left" w:pos="7574" w:leader="none"/>
        </w:tabs>
        <w:ind w:left="510"/>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Style w:val="Internetlink"/>
          <w:b/>
          <w:bCs/>
          <w:color w:val="000000"/>
          <w:u w:val="none"/>
        </w:rPr>
        <w:t>5.7.</w:t>
      </w:r>
      <w:r>
        <w:rPr>
          <w:rStyle w:val="Internetlink"/>
          <w:color w:val="000000"/>
          <w:u w:val="none"/>
        </w:rPr>
        <w:t xml:space="preserve"> A comprovação da regularidade fiscal e trabalhista das microempresas e empresas de pequeno porte observará o disposto no art. 42 da Lei Complementar n.° 123, de 14 de agosto de 2006.</w:t>
      </w:r>
    </w:p>
    <w:p>
      <w:pPr>
        <w:pStyle w:val="Standard"/>
        <w:keepLines/>
        <w:tabs>
          <w:tab w:val="clear" w:pos="709"/>
          <w:tab w:val="left" w:pos="1143" w:leader="none"/>
          <w:tab w:val="left" w:pos="1587" w:leader="none"/>
          <w:tab w:val="left" w:pos="2307" w:leader="none"/>
          <w:tab w:val="left" w:pos="3027" w:leader="none"/>
          <w:tab w:val="left" w:pos="3747" w:leader="none"/>
          <w:tab w:val="left" w:pos="4467" w:leader="none"/>
          <w:tab w:val="left" w:pos="5187" w:leader="none"/>
          <w:tab w:val="left" w:pos="5907" w:leader="none"/>
          <w:tab w:val="left" w:pos="6627" w:leader="none"/>
          <w:tab w:val="left" w:pos="7347" w:leader="none"/>
        </w:tabs>
        <w:ind w:left="283"/>
        <w:jc w:val="both"/>
        <w:textAlignment w:val="top"/>
        <w:rPr>
          <w:rFonts w:ascii="Times New Roman" w:hAnsi="Times New Roman" w:eastAsia="Times New Roman" w:cs="Times New Roman"/>
          <w:b/>
          <w:bCs/>
          <w:lang w:bidi="ar-SA"/>
        </w:rPr>
      </w:pPr>
      <w:r>
        <w:rPr>
          <w:rFonts w:eastAsia="Times New Roman" w:cs="Times New Roman" w:ascii="Times New Roman" w:hAnsi="Times New Roman"/>
          <w:b/>
          <w:bCs/>
          <w:lang w:bidi="ar-SA"/>
        </w:rPr>
      </w:r>
    </w:p>
    <w:p>
      <w:pPr>
        <w:pStyle w:val="ListParagraph"/>
        <w:tabs>
          <w:tab w:val="clear" w:pos="709"/>
          <w:tab w:val="left" w:pos="860"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Style w:val="Internetlink"/>
          <w:rFonts w:eastAsia="Times New Roman" w:cs="Times New Roman" w:ascii="Times New Roman" w:hAnsi="Times New Roman"/>
          <w:b/>
          <w:bCs/>
          <w:color w:val="000000"/>
          <w:u w:val="none"/>
          <w:lang w:bidi="ar-SA"/>
        </w:rPr>
        <w:t>5.8.</w:t>
      </w:r>
      <w:r>
        <w:rPr>
          <w:rStyle w:val="Internetlink"/>
          <w:rFonts w:eastAsia="Times New Roman" w:cs="Times New Roman" w:ascii="Times New Roman" w:hAnsi="Times New Roman"/>
          <w:color w:val="000000"/>
          <w:u w:val="none"/>
          <w:lang w:bidi="ar-SA"/>
        </w:rPr>
        <w:t xml:space="preserve"> A </w:t>
      </w:r>
      <w:r>
        <w:rPr>
          <w:rStyle w:val="Internetlink"/>
          <w:rFonts w:cs="Times New Roman" w:ascii="Times New Roman" w:hAnsi="Times New Roman"/>
          <w:color w:val="auto"/>
          <w:u w:val="none"/>
          <w:lang w:bidi="ar-SA"/>
        </w:rPr>
        <w:t>Comissão de Agentes de Contratação</w:t>
      </w:r>
      <w:r>
        <w:rPr>
          <w:rStyle w:val="Internetlink"/>
          <w:rFonts w:eastAsia="Times New Roman" w:cs="Times New Roman" w:ascii="Times New Roman" w:hAnsi="Times New Roman"/>
          <w:color w:val="000000"/>
          <w:u w:val="none"/>
          <w:lang w:bidi="ar-SA"/>
        </w:rPr>
        <w:t xml:space="preserve"> poderá solicitar auxílio da Secretaria Municipal do Meio Ambiente e Sustentabilidade, da Procuradoria-Geral do Município, bem como de outros membros da Administração Pública municipal que não integrem a </w:t>
      </w:r>
      <w:r>
        <w:rPr>
          <w:rStyle w:val="Internetlink"/>
          <w:rFonts w:cs="Times New Roman" w:ascii="Times New Roman" w:hAnsi="Times New Roman"/>
          <w:color w:val="auto"/>
          <w:u w:val="none"/>
          <w:lang w:bidi="ar-SA"/>
        </w:rPr>
        <w:t>Comissão.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Times New Roman" w:cs="Times New Roman"/>
          <w:b/>
          <w:bCs/>
          <w:lang w:bidi="ar-SA"/>
        </w:rPr>
      </w:pPr>
      <w:r>
        <w:rPr>
          <w:rFonts w:eastAsia="Times New Roman" w:cs="Times New Roman" w:ascii="Times New Roman" w:hAnsi="Times New Roman"/>
          <w:b/>
          <w:bCs/>
          <w:lang w:bidi="ar-SA"/>
        </w:rPr>
      </w:r>
    </w:p>
    <w:p>
      <w:pPr>
        <w:pStyle w:val="ListParagraph"/>
        <w:numPr>
          <w:ilvl w:val="1"/>
          <w:numId w:val="6"/>
        </w:numPr>
        <w:ind w:hanging="0" w:left="0"/>
        <w:jc w:val="both"/>
        <w:rPr/>
      </w:pPr>
      <w:r>
        <w:rPr>
          <w:rFonts w:cs="Times New Roman" w:ascii="Times New Roman" w:hAnsi="Times New Roman"/>
          <w:b/>
          <w:bCs/>
        </w:rPr>
        <w:t xml:space="preserve">5.9. </w:t>
      </w:r>
      <w:r>
        <w:rPr>
          <w:rFonts w:cs="Times New Roman" w:ascii="Times New Roman" w:hAnsi="Times New Roman"/>
        </w:rPr>
        <w:t xml:space="preserve">Será(ão) habilitada(s) toda(s) </w:t>
      </w:r>
      <w:r>
        <w:rPr>
          <w:rFonts w:eastAsia="Times New Roman" w:cs="Times New Roman" w:ascii="Times New Roman" w:hAnsi="Times New Roman"/>
          <w:lang w:bidi="ar-SA"/>
        </w:rPr>
        <w:t>a(s) participante(s)</w:t>
      </w:r>
      <w:r>
        <w:rPr>
          <w:rFonts w:cs="Times New Roman" w:ascii="Times New Roman" w:hAnsi="Times New Roman"/>
        </w:rPr>
        <w:t xml:space="preserve"> que satisfizer(em), integralmente e sem ressalvas, o disposto acerca dos documentos de habilitação e demais exigências fixadas neste Edital.</w:t>
      </w:r>
    </w:p>
    <w:p>
      <w:pPr>
        <w:pStyle w:val="ListParagraph"/>
        <w:widowControl w:val="false"/>
        <w:numPr>
          <w:ilvl w:val="0"/>
          <w:numId w:val="7"/>
        </w:numPr>
        <w:ind w:hanging="0" w:left="0" w:right="113"/>
        <w:jc w:val="both"/>
        <w:rPr>
          <w:rFonts w:ascii="Times New Roman" w:hAnsi="Times New Roman" w:cs="Times New Roman"/>
        </w:rPr>
      </w:pPr>
      <w:r>
        <w:rPr>
          <w:rFonts w:cs="Times New Roman" w:ascii="Times New Roman" w:hAnsi="Times New Roman"/>
        </w:rPr>
      </w:r>
    </w:p>
    <w:p>
      <w:pPr>
        <w:pStyle w:val="ListParagraph"/>
        <w:numPr>
          <w:ilvl w:val="1"/>
          <w:numId w:val="8"/>
        </w:numPr>
        <w:ind w:hanging="0" w:left="0"/>
        <w:jc w:val="both"/>
        <w:rPr/>
      </w:pPr>
      <w:r>
        <w:rPr>
          <w:rFonts w:eastAsia="Times New Roman" w:cs="Times New Roman" w:ascii="Times New Roman" w:hAnsi="Times New Roman"/>
          <w:b/>
          <w:bCs/>
          <w:lang w:bidi="ar-SA"/>
        </w:rPr>
        <w:t xml:space="preserve">5.10. </w:t>
      </w:r>
      <w:r>
        <w:rPr>
          <w:rFonts w:eastAsia="Times New Roman" w:cs="Times New Roman" w:ascii="Times New Roman" w:hAnsi="Times New Roman"/>
          <w:lang w:bidi="ar-SA"/>
        </w:rPr>
        <w:t>A(s) participante(s)</w:t>
      </w:r>
      <w:r>
        <w:rPr>
          <w:rFonts w:cs="Times New Roman" w:ascii="Times New Roman" w:hAnsi="Times New Roman"/>
        </w:rPr>
        <w:t xml:space="preserve"> que descumprir(em) os requisitos em relação à documentação analisada nesta fase será(ão) inabilitada(s), </w:t>
      </w:r>
      <w:r>
        <w:rPr>
          <w:rFonts w:eastAsia="ArialMT" w:cs="Times New Roman" w:ascii="Times New Roman" w:hAnsi="Times New Roman"/>
          <w:color w:val="000000"/>
          <w:lang w:eastAsia="ar-SA" w:bidi="ar-SA"/>
        </w:rPr>
        <w:t>seja por não apresentar quaisquer dos documentos exigidos, ou apresentá-los em desacordo com o e</w:t>
      </w:r>
      <w:r>
        <w:rPr>
          <w:rFonts w:eastAsia="ArialMT" w:cs="Times New Roman" w:ascii="Times New Roman" w:hAnsi="Times New Roman"/>
          <w:color w:val="000000"/>
          <w:lang w:eastAsia="en-US" w:bidi="ar-SA"/>
        </w:rPr>
        <w:t xml:space="preserve">stabelecido neste Edital e seus anexos, </w:t>
      </w:r>
      <w:r>
        <w:rPr>
          <w:rFonts w:cs="Times New Roman" w:ascii="Times New Roman" w:hAnsi="Times New Roman"/>
        </w:rPr>
        <w:t>garantido o direito à ampla defesa e ao contraditório, mediante o regular processo administrativo e a possibilidade de apresentação de recurso, nos termos da Lei de Licitações e deste Edital.</w:t>
      </w:r>
    </w:p>
    <w:p>
      <w:pPr>
        <w:pStyle w:val="ListParagraph"/>
        <w:widowControl w:val="false"/>
        <w:numPr>
          <w:ilvl w:val="0"/>
          <w:numId w:val="9"/>
        </w:numPr>
        <w:ind w:hanging="0" w:left="0" w:right="113"/>
        <w:jc w:val="both"/>
        <w:rPr>
          <w:rFonts w:ascii="Times New Roman" w:hAnsi="Times New Roman" w:cs="Times New Roman"/>
        </w:rPr>
      </w:pPr>
      <w:r>
        <w:rPr>
          <w:rFonts w:cs="Times New Roman" w:ascii="Times New Roman" w:hAnsi="Times New Roman"/>
        </w:rPr>
      </w:r>
    </w:p>
    <w:p>
      <w:pPr>
        <w:pStyle w:val="ListParagraph"/>
        <w:numPr>
          <w:ilvl w:val="1"/>
          <w:numId w:val="10"/>
        </w:numPr>
        <w:ind w:hanging="0" w:left="0"/>
        <w:jc w:val="both"/>
        <w:rPr/>
      </w:pPr>
      <w:r>
        <w:rPr>
          <w:rFonts w:cs="Times New Roman" w:ascii="Times New Roman" w:hAnsi="Times New Roman"/>
          <w:b/>
          <w:bCs/>
        </w:rPr>
        <w:t xml:space="preserve">5.11. </w:t>
      </w:r>
      <w:r>
        <w:rPr>
          <w:rFonts w:cs="Times New Roman" w:ascii="Times New Roman" w:hAnsi="Times New Roman"/>
        </w:rPr>
        <w:t xml:space="preserve">Encerrada a etapa de DOCUMENTAÇÃO, a </w:t>
      </w:r>
      <w:r>
        <w:rPr>
          <w:rStyle w:val="Internetlink"/>
          <w:rFonts w:eastAsia="Times New Roman" w:cs="Times New Roman" w:ascii="Times New Roman" w:hAnsi="Times New Roman"/>
          <w:color w:val="auto"/>
          <w:u w:val="none"/>
          <w:lang w:bidi="ar-SA"/>
        </w:rPr>
        <w:t>COMISSÃO ESPECIAL DE LICITAÇÃO</w:t>
      </w:r>
      <w:r>
        <w:rPr>
          <w:rFonts w:cs="Times New Roman" w:ascii="Times New Roman" w:hAnsi="Times New Roman"/>
        </w:rPr>
        <w:t xml:space="preserve"> concederá direito de vista da documentação e abrirá prazo para eventual interposição de recurso da decisão sobre a análise dos documentos de habilitação da</w:t>
      </w:r>
      <w:r>
        <w:rPr>
          <w:rFonts w:eastAsia="Times New Roman" w:cs="Times New Roman" w:ascii="Times New Roman" w:hAnsi="Times New Roman"/>
          <w:lang w:bidi="ar-SA"/>
        </w:rPr>
        <w:t>(s) participante(s).</w:t>
      </w:r>
    </w:p>
    <w:p>
      <w:pPr>
        <w:pStyle w:val="ListParagraph"/>
        <w:numPr>
          <w:ilvl w:val="1"/>
          <w:numId w:val="11"/>
        </w:numPr>
        <w:spacing w:lineRule="auto" w:line="276"/>
        <w:ind w:hanging="0" w:left="0"/>
        <w:jc w:val="both"/>
        <w:rPr>
          <w:rFonts w:ascii="Times New Roman" w:hAnsi="Times New Roman" w:eastAsia="Times New Roman" w:cs="Times New Roman"/>
          <w:b/>
          <w:bCs/>
          <w:lang w:bidi="ar-SA"/>
        </w:rPr>
      </w:pPr>
      <w:r>
        <w:rPr>
          <w:rFonts w:eastAsia="Times New Roman" w:cs="Times New Roman" w:ascii="Times New Roman" w:hAnsi="Times New Roman"/>
          <w:b/>
          <w:bCs/>
          <w:lang w:bidi="ar-SA"/>
        </w:rPr>
      </w:r>
    </w:p>
    <w:p>
      <w:pPr>
        <w:pStyle w:val="ListParagraph"/>
        <w:numPr>
          <w:ilvl w:val="1"/>
          <w:numId w:val="12"/>
        </w:numPr>
        <w:ind w:hanging="0" w:left="0"/>
        <w:jc w:val="both"/>
        <w:rPr/>
      </w:pPr>
      <w:r>
        <w:rPr>
          <w:rFonts w:eastAsia="Times New Roman" w:cs="Times New Roman" w:ascii="Times New Roman" w:hAnsi="Times New Roman"/>
          <w:b/>
          <w:bCs/>
          <w:lang w:bidi="ar-SA"/>
        </w:rPr>
        <w:t>5.12.</w:t>
      </w:r>
      <w:r>
        <w:rPr>
          <w:rFonts w:eastAsia="Times New Roman" w:cs="Times New Roman" w:ascii="Times New Roman" w:hAnsi="Times New Roman"/>
          <w:lang w:bidi="ar-SA"/>
        </w:rPr>
        <w:t xml:space="preserve"> Caso todos a(s) participante(s) declinem expressamente do direito de recorrer, a </w:t>
      </w:r>
      <w:r>
        <w:rPr>
          <w:rStyle w:val="Internetlink"/>
          <w:rFonts w:eastAsia="Times New Roman" w:cs="Times New Roman" w:ascii="Times New Roman" w:hAnsi="Times New Roman"/>
          <w:color w:val="auto"/>
          <w:u w:val="none"/>
          <w:lang w:bidi="ar-SA"/>
        </w:rPr>
        <w:t>Comissão de Agentes de Contratação</w:t>
      </w:r>
      <w:r>
        <w:rPr>
          <w:rFonts w:eastAsia="Times New Roman" w:cs="Times New Roman" w:ascii="Times New Roman" w:hAnsi="Times New Roman"/>
          <w:lang w:bidi="ar-SA"/>
        </w:rPr>
        <w:t xml:space="preserve"> procederá a abertura do Envelope n. º 2 – PROPOSTA COMERCIAL.</w:t>
      </w:r>
    </w:p>
    <w:p>
      <w:pPr>
        <w:pStyle w:val="ListParagraph"/>
        <w:rPr/>
      </w:pPr>
      <w:r>
        <w:rPr/>
      </w:r>
    </w:p>
    <w:p>
      <w:pPr>
        <w:pStyle w:val="Normal"/>
        <w:jc w:val="both"/>
        <w:rPr/>
      </w:pPr>
      <w:r>
        <w:rPr/>
      </w:r>
    </w:p>
    <w:p>
      <w:pPr>
        <w:pStyle w:val="Heading1"/>
        <w:rPr/>
      </w:pPr>
      <w:bookmarkStart w:id="22" w:name="_Toc224628435"/>
      <w:bookmarkStart w:id="23" w:name="_Toc220503772"/>
      <w:r>
        <w:rPr>
          <w:rFonts w:cs="Times New Roman" w:ascii="Times New Roman" w:hAnsi="Times New Roman"/>
          <w:sz w:val="24"/>
        </w:rPr>
        <w:t>6. DA PROPOSTA COMERCIAL – Envelope n.º 2</w:t>
      </w:r>
      <w:bookmarkEnd w:id="22"/>
      <w:bookmarkEnd w:id="23"/>
    </w:p>
    <w:p>
      <w:pPr>
        <w:pStyle w:val="Normal"/>
        <w:jc w:val="both"/>
        <w:rPr/>
      </w:pPr>
      <w:r>
        <w:rPr/>
      </w:r>
      <w:bookmarkStart w:id="24" w:name="_Hlk220570592"/>
      <w:bookmarkStart w:id="25" w:name="_Hlk220570592"/>
    </w:p>
    <w:p>
      <w:pPr>
        <w:pStyle w:val="Normal"/>
        <w:jc w:val="both"/>
        <w:rPr/>
      </w:pPr>
      <w:r>
        <w:rPr/>
        <w:t>6.1.</w:t>
        <w:tab/>
        <w:t xml:space="preserve">A PROPOSTA COMERCIAL integrará o Envelope n.º 2 e deverá ser assinada pelo representante legal ou procurador do PROPONENTE e dirigida à COMISSÃO ESPECIAL DE LICITAÇÃO, observado o formato disposto na </w:t>
      </w:r>
      <w:r>
        <w:rPr>
          <w:b/>
        </w:rPr>
        <w:t>Declaração de Proposta Comercial</w:t>
      </w:r>
      <w:r>
        <w:rPr/>
        <w:t xml:space="preserve"> (conforme modelo deste Edital) e demais condições do EDITAL.</w:t>
      </w:r>
    </w:p>
    <w:p>
      <w:pPr>
        <w:pStyle w:val="Normal"/>
        <w:jc w:val="both"/>
        <w:rPr/>
      </w:pPr>
      <w:r>
        <w:rPr/>
      </w:r>
    </w:p>
    <w:p>
      <w:pPr>
        <w:pStyle w:val="Normal"/>
        <w:jc w:val="both"/>
        <w:rPr/>
      </w:pPr>
      <w:r>
        <w:rPr/>
        <w:t>6.2.</w:t>
        <w:tab/>
        <w:t>Conforme a Declaração de Proposta Comercial (conforme modelo deste Edital), a PROPOSTA deverá conter:</w:t>
      </w:r>
    </w:p>
    <w:p>
      <w:pPr>
        <w:pStyle w:val="Normal"/>
        <w:jc w:val="both"/>
        <w:rPr/>
      </w:pPr>
      <w:r>
        <w:rPr/>
      </w:r>
    </w:p>
    <w:p>
      <w:pPr>
        <w:pStyle w:val="Normal"/>
        <w:jc w:val="both"/>
        <w:rPr/>
      </w:pPr>
      <w:r>
        <w:rPr/>
        <w:t>(i)</w:t>
        <w:tab/>
        <w:t>A oferta da PROPONENTE quanto ao valor da OUTORGA FIXA, respeitando o valor mínimo de R$ 577.184,50 (quinhentos e setenta e sete mil, cento e oitenta e quatro, e cinquenta centavos), e considerando até 2 (duas) casas depois da vírgula, escrita em números e por extenso, observados os termos e condições previstos neste EDITAL; e</w:t>
      </w:r>
    </w:p>
    <w:p>
      <w:pPr>
        <w:pStyle w:val="Normal"/>
        <w:jc w:val="both"/>
        <w:rPr/>
      </w:pPr>
      <w:r>
        <w:rPr/>
      </w:r>
    </w:p>
    <w:p>
      <w:pPr>
        <w:pStyle w:val="Normal"/>
        <w:jc w:val="both"/>
        <w:rPr/>
      </w:pPr>
      <w:r>
        <w:rPr/>
        <w:t>(ii)</w:t>
        <w:tab/>
        <w:t>Laudo técnico com as informações da PROPONENTE quanto aos dados técnicos, observados os termos e condições previstos neste EDITAL; e</w:t>
      </w:r>
    </w:p>
    <w:p>
      <w:pPr>
        <w:pStyle w:val="Normal"/>
        <w:jc w:val="both"/>
        <w:rPr/>
      </w:pPr>
      <w:r>
        <w:rPr/>
      </w:r>
    </w:p>
    <w:p>
      <w:pPr>
        <w:pStyle w:val="Normal"/>
        <w:jc w:val="both"/>
        <w:rPr/>
      </w:pPr>
      <w:r>
        <w:rPr/>
        <w:t>(iii)</w:t>
        <w:tab/>
        <w:t>Os dados da PROPONENTE (razão social, o CNPJ, o endereço completo, o número do telefone, e-mail, além do nome do responsável e seus dados para contato).</w:t>
      </w:r>
    </w:p>
    <w:p>
      <w:pPr>
        <w:pStyle w:val="Normal"/>
        <w:jc w:val="both"/>
        <w:rPr/>
      </w:pPr>
      <w:r>
        <w:rPr/>
      </w:r>
    </w:p>
    <w:p>
      <w:pPr>
        <w:pStyle w:val="Normal"/>
        <w:jc w:val="both"/>
        <w:rPr/>
      </w:pPr>
      <w:r>
        <w:rPr/>
        <w:t>(iv)</w:t>
        <w:tab/>
        <w:t>Documento de responsabilidade técnica referente ao laudo técnico, devidamente preenchida, assinada e quitada, conforme o órgão competente ao qual o responsável técnico está vinculado, referente às informações do item 6.2 (ii).</w:t>
      </w:r>
    </w:p>
    <w:p>
      <w:pPr>
        <w:pStyle w:val="Normal"/>
        <w:jc w:val="both"/>
        <w:rPr/>
      </w:pPr>
      <w:r>
        <w:rPr/>
      </w:r>
    </w:p>
    <w:p>
      <w:pPr>
        <w:pStyle w:val="Normal"/>
        <w:jc w:val="both"/>
        <w:rPr/>
      </w:pPr>
      <w:r>
        <w:rPr/>
        <w:t>6.3.</w:t>
        <w:tab/>
        <w:t>A PROPOSTA COMERCIAL é incondicional, irrevogável e irretratável durante seu período de vigência e deverá ter como data base a DATA DE ENTREGA DOS ENVELOPES.</w:t>
      </w:r>
    </w:p>
    <w:p>
      <w:pPr>
        <w:pStyle w:val="Normal"/>
        <w:jc w:val="both"/>
        <w:rPr/>
      </w:pPr>
      <w:r>
        <w:rPr/>
      </w:r>
    </w:p>
    <w:p>
      <w:pPr>
        <w:pStyle w:val="Normal"/>
        <w:jc w:val="both"/>
        <w:rPr/>
      </w:pPr>
      <w:r>
        <w:rPr/>
        <w:t>6.4.</w:t>
        <w:tab/>
        <w:t>A PROPOSTA COMERCIAL será considerada completa e deverá abranger todos os tributos (impostos, taxas, emolumentos, contribuições fiscais e parafiscais), custos relativos a todos os serviços preliminares, complementares ou provisórios necessários à perfeita execução dos SERVIÇOS, custos relativos à mão de obra, encargos sociais e trabalhistas, seguros, administração, equipamentos e instalações necessários à execução do OBJETO da LICITAÇÃO, transporte de material e de pessoal, riscos sob o encargo da CONCESSIONÁRIA, bem como lucro e qualquer despesa, acessória e/ou necessária, não especificada neste instrumento convocatório.</w:t>
      </w:r>
    </w:p>
    <w:p>
      <w:pPr>
        <w:pStyle w:val="Normal"/>
        <w:jc w:val="both"/>
        <w:rPr/>
      </w:pPr>
      <w:r>
        <w:rPr/>
      </w:r>
    </w:p>
    <w:p>
      <w:pPr>
        <w:pStyle w:val="Normal"/>
        <w:jc w:val="both"/>
        <w:rPr/>
      </w:pPr>
      <w:r>
        <w:rPr/>
        <w:t>6.5.</w:t>
        <w:tab/>
        <w:t>Cada PROPONENTE deverá apresentar apenas uma PROPOSTA COMERCIAL, sob pena de desclassificação.</w:t>
      </w:r>
    </w:p>
    <w:p>
      <w:pPr>
        <w:pStyle w:val="Normal"/>
        <w:jc w:val="both"/>
        <w:rPr/>
      </w:pPr>
      <w:r>
        <w:rPr/>
      </w:r>
    </w:p>
    <w:p>
      <w:pPr>
        <w:pStyle w:val="Normal"/>
        <w:jc w:val="both"/>
        <w:rPr/>
      </w:pPr>
      <w:r>
        <w:rPr/>
        <w:t>6.6.</w:t>
        <w:tab/>
        <w:t>Não serão levadas em consideração quaisquer ofertas ou vantagens não previstas no presente EDITAL, nem preços ou vantagens baseadas nas PROPOSTAS COMERCIAIS de quaisquer dos demais PROPONENTES.</w:t>
      </w:r>
    </w:p>
    <w:p>
      <w:pPr>
        <w:pStyle w:val="Normal"/>
        <w:jc w:val="both"/>
        <w:rPr/>
      </w:pPr>
      <w:r>
        <w:rPr/>
      </w:r>
    </w:p>
    <w:p>
      <w:pPr>
        <w:pStyle w:val="Normal"/>
        <w:jc w:val="both"/>
        <w:rPr/>
      </w:pPr>
      <w:r>
        <w:rPr/>
        <w:t>6.7.</w:t>
        <w:tab/>
        <w:t>Os valores apresentados na PROPOSTA COMERCIAL terão como data-base a DATA DE ENTREGA DOS ENVELOPES e validade de, no mínimo, 180 (cento e oitenta) dias, devendo ser mantidas, neste período, todas as condições nela contidas.</w:t>
      </w:r>
    </w:p>
    <w:p>
      <w:pPr>
        <w:pStyle w:val="Normal"/>
        <w:jc w:val="both"/>
        <w:rPr/>
      </w:pPr>
      <w:r>
        <w:rPr/>
      </w:r>
    </w:p>
    <w:p>
      <w:pPr>
        <w:pStyle w:val="Normal"/>
        <w:jc w:val="both"/>
        <w:rPr/>
      </w:pPr>
      <w:r>
        <w:rPr/>
        <w:t>6.7.1.</w:t>
        <w:tab/>
        <w:t>Até 15 (quinze) dias antes do vencimento da PROPOSTA COMERCIAL, a PROPONENTE será notificada para renová-la, podendo recusar-se a fazê-lo hipótese na qual será excluída da LICITAÇÃO.</w:t>
      </w:r>
    </w:p>
    <w:p>
      <w:pPr>
        <w:pStyle w:val="Normal"/>
        <w:jc w:val="both"/>
        <w:rPr/>
      </w:pPr>
      <w:r>
        <w:rPr/>
      </w:r>
    </w:p>
    <w:p>
      <w:pPr>
        <w:pStyle w:val="Normal"/>
        <w:jc w:val="both"/>
        <w:rPr/>
      </w:pPr>
      <w:r>
        <w:rPr/>
        <w:t>6.8.</w:t>
        <w:tab/>
        <w:t>Na hipótese de erro no valor da proposta e/ou nas demais condições apresentadas, não serão admitidas retificações por parte da PROPONENTE.</w:t>
      </w:r>
    </w:p>
    <w:p>
      <w:pPr>
        <w:pStyle w:val="Normal"/>
        <w:jc w:val="both"/>
        <w:rPr/>
      </w:pPr>
      <w:r>
        <w:rPr/>
      </w:r>
    </w:p>
    <w:p>
      <w:pPr>
        <w:pStyle w:val="Normal"/>
        <w:jc w:val="both"/>
        <w:rPr/>
      </w:pPr>
      <w:r>
        <w:rPr/>
        <w:t>6.9.</w:t>
        <w:tab/>
        <w:t>Havendo divergência entre o valor apresentado em números e o escrito por extenso, a COMISSÃO ESPECIAL DE LICITAÇÃO procederá e considerará como correto o valor escrito por extenso e fará a devida correção, declarando este como o valor válido ofertado pela PROPONENTE.</w:t>
      </w:r>
    </w:p>
    <w:p>
      <w:pPr>
        <w:pStyle w:val="Normal"/>
        <w:jc w:val="both"/>
        <w:rPr/>
      </w:pPr>
      <w:r>
        <w:rPr/>
      </w:r>
    </w:p>
    <w:p>
      <w:pPr>
        <w:pStyle w:val="Normal"/>
        <w:jc w:val="both"/>
        <w:rPr/>
      </w:pPr>
      <w:r>
        <w:rPr/>
        <w:t>6.10.</w:t>
        <w:tab/>
        <w:t>Sem prejuízo do disposto no item 6.2, os interessados poderão utilizar padronização própria para a apresentação das propostas solicitadas neste EDITAL. Deverão, contudo, observar obrigatoriamente que, nas descrições apresentadas, haja a totalidade das informações para o completo atendimento e entendimento das exigências expressas neste instrumento.</w:t>
      </w:r>
    </w:p>
    <w:p>
      <w:pPr>
        <w:pStyle w:val="Normal"/>
        <w:jc w:val="both"/>
        <w:rPr/>
      </w:pPr>
      <w:r>
        <w:rPr/>
      </w:r>
    </w:p>
    <w:p>
      <w:pPr>
        <w:pStyle w:val="Normal"/>
        <w:jc w:val="both"/>
        <w:rPr/>
      </w:pPr>
      <w:r>
        <w:rPr/>
        <w:t>6.11.</w:t>
        <w:tab/>
        <w:t>A classificação das PROPONENTES se dará em ordem decrescente, sendo, portanto, a primeira colocada aquela cuja PROPOSTA COMERCIAL apresentar a maior pontuação.</w:t>
      </w:r>
    </w:p>
    <w:p>
      <w:pPr>
        <w:pStyle w:val="Normal"/>
        <w:jc w:val="both"/>
        <w:rPr/>
      </w:pPr>
      <w:r>
        <w:rPr/>
      </w:r>
    </w:p>
    <w:p>
      <w:pPr>
        <w:pStyle w:val="Normal"/>
        <w:jc w:val="both"/>
        <w:rPr/>
      </w:pPr>
      <w:bookmarkStart w:id="26" w:name="_Hlk220570592"/>
      <w:r>
        <w:rPr/>
        <w:t>6.12.</w:t>
        <w:tab/>
        <w:t>Não poderá ser incluído na PROPOSTA COMERCIAL, nem nos demais volumes dos DOCUMENTOS, o plano de negócios da PROPONENTE, sob pena de desclassificação da PROPONENTE e aplicação de multa prevista neste EDITAL, com sua consequente execução.</w:t>
      </w:r>
      <w:bookmarkEnd w:id="26"/>
    </w:p>
    <w:p>
      <w:pPr>
        <w:pStyle w:val="Normal"/>
        <w:jc w:val="both"/>
        <w:rPr/>
      </w:pPr>
      <w:r>
        <w:rPr/>
      </w:r>
    </w:p>
    <w:p>
      <w:pPr>
        <w:pStyle w:val="Heading1"/>
        <w:rPr/>
      </w:pPr>
      <w:bookmarkStart w:id="27" w:name="_Toc224628436"/>
      <w:bookmarkStart w:id="28" w:name="_Toc220503773"/>
      <w:r>
        <w:rPr>
          <w:rFonts w:cs="Times New Roman" w:ascii="Times New Roman" w:hAnsi="Times New Roman"/>
          <w:sz w:val="24"/>
        </w:rPr>
        <w:t>7. DO JULGAMENTO DAS PROPOSTAS TÉCNICA, DE PREÇO E CLASSIFICAÇÃO</w:t>
      </w:r>
      <w:bookmarkEnd w:id="27"/>
      <w:bookmarkEnd w:id="28"/>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MS Mincho" w:cs="Times New Roman" w:ascii="Times New Roman" w:hAnsi="Times New Roman"/>
          <w:bCs/>
          <w:color w:val="00000A"/>
          <w:lang w:eastAsia="ar-SA" w:bidi="ar-SA"/>
        </w:rPr>
        <w:t>7.1.</w:t>
      </w:r>
      <w:r>
        <w:rPr>
          <w:rFonts w:eastAsia="MS Mincho" w:cs="Times New Roman" w:ascii="Times New Roman" w:hAnsi="Times New Roman"/>
          <w:b/>
          <w:bCs/>
          <w:color w:val="00000A"/>
          <w:lang w:eastAsia="ar-SA" w:bidi="ar-SA"/>
        </w:rPr>
        <w:t xml:space="preserve"> NOTA TÉCNICA - </w:t>
      </w:r>
      <w:r>
        <w:rPr>
          <w:rFonts w:eastAsia="MS Mincho" w:cs="Times New Roman" w:ascii="Times New Roman" w:hAnsi="Times New Roman"/>
          <w:bCs/>
          <w:color w:val="00000A"/>
          <w:lang w:eastAsia="ar-SA" w:bidi="ar-SA"/>
        </w:rPr>
        <w:t>A comprovação da aferição da capacidade técnica para desempenho de atividades pertinentes e compatíveis em quantidade e prazos com o objeto da presente licitação, atribuindo-se uma Nota Técnica, que será considerada para julgamento da ordem de classificação, a qual se levando em conta os serviços que atualmente as empresas prestam nos locais onde têm atuação será apurada mediante os seguintes critérios:</w:t>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t>7.1.1. A COMISSÃO ESPECIAL DE LICITAÇÃO atribuirá nota para cada um dos quesitos.</w:t>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t>7.1.2. A pontuação de cada um dos quesitos corresponderá à nota atribuída a seguir indicados:</w:t>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t>(i)</w:t>
        <w:tab/>
        <w:t>Experiência no mercado dos serviços licitados, mediante comprovação pelo contrato social ou atestado de órgão público ou privado de que a licitante presta ou prestou serviços funerários mediante contrato de concessão ou permissão: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TABELA DE PONTOS – EXPERIÊNCIA (a)</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Parâmetros (Experiência em operação em anos)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Pontuação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5 a 10 (+ fração) 1 Ponto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11 – 15 (+ fração) 2 Pontos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16 – 20 (+fração) 3 Pontos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Acima de 21 4 Pontos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t>(ii)</w:t>
        <w:tab/>
        <w:t>Área construída total para prestação dos serviços (mesma edificação ou edificações separadas):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TABELA DE PONTOS – INSTALAÇÕES (b)</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Pontuação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até 150 m² 1 Ponto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151 à 300 m² 2 Pontos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Acima de 300 m² 3 Pontos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t>(iii)</w:t>
        <w:tab/>
        <w:t>Veículos a serem utilizados na prestação dos serviços, com no máximo 15 (quinze) anos de uso, sendo que, no mínimo, um deve ser o fúnebre e um de apoio: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TABELA DE PONTOS – VEÍCULOS (c)</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Pontuação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(dois) veículos 1 Ponto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center"/>
        <w:textAlignment w:val="top"/>
        <w:rPr/>
      </w:pPr>
      <w:r>
        <w:rPr>
          <w:rFonts w:eastAsia="ArialMT" w:cs="Times New Roman" w:ascii="Times New Roman" w:hAnsi="Times New Roman"/>
          <w:color w:val="000000"/>
          <w:lang w:bidi="ar-SA"/>
        </w:rPr>
        <w:t>(três) veículos ou mais 2 Pontos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t>7.1.3. O somatório das pontuações de cada licitante será relativizado à pontuação máxima, considerado truncamento na quarta casa decimal, a fim de determinar o índice técnico do licitante (it):</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ArialMT" w:cs="Times New Roman" w:ascii="Times New Roman" w:hAnsi="Times New Roman"/>
          <w:color w:val="000000"/>
          <w:lang w:bidi="ar-SA"/>
        </w:rPr>
        <w:t xml:space="preserve">                                                                   </w:t>
      </w:r>
      <w:r>
        <w:rPr/>
      </w:r>
      <m:oMath xmlns:m="http://schemas.openxmlformats.org/officeDocument/2006/math">
        <m:sSub>
          <m:e/>
          <m:sub>
            <m:r>
              <w:rPr>
                <w:rFonts w:ascii="Cambria Math" w:hAnsi="Cambria Math"/>
              </w:rPr>
              <m:t xml:space="preserve">i</m:t>
            </m:r>
          </m:sub>
        </m:sSub>
        <m:r>
          <w:rPr>
            <w:rFonts w:ascii="Cambria Math" w:hAnsi="Cambria Math"/>
          </w:rPr>
          <m:t xml:space="preserve">=</m:t>
        </m:r>
        <m:f>
          <m:num>
            <m:d>
              <m:dPr>
                <m:begChr m:val="("/>
                <m:endChr m:val=")"/>
              </m:dPr>
              <m:e>
                <m:r>
                  <w:rPr>
                    <w:rFonts w:ascii="Cambria Math" w:hAnsi="Cambria Math"/>
                  </w:rPr>
                  <m:t xml:space="preserve">a</m:t>
                </m:r>
              </m:e>
            </m:d>
            <m:r>
              <w:rPr>
                <w:rFonts w:ascii="Cambria Math" w:hAnsi="Cambria Math"/>
              </w:rPr>
              <m:t xml:space="preserve">+</m:t>
            </m:r>
            <m:d>
              <m:dPr>
                <m:begChr m:val="("/>
                <m:endChr m:val=")"/>
              </m:dPr>
              <m:e>
                <m:r>
                  <w:rPr>
                    <w:rFonts w:ascii="Cambria Math" w:hAnsi="Cambria Math"/>
                  </w:rPr>
                  <m:t xml:space="preserve">b</m:t>
                </m:r>
              </m:e>
            </m:d>
            <m:r>
              <w:rPr>
                <w:rFonts w:ascii="Cambria Math" w:hAnsi="Cambria Math"/>
              </w:rPr>
              <m:t xml:space="preserve">+</m:t>
            </m:r>
            <m:r>
              <w:rPr>
                <w:rFonts w:ascii="Cambria Math" w:hAnsi="Cambria Math"/>
              </w:rPr>
              <m:t xml:space="preserve">(</m:t>
            </m:r>
            <m:r>
              <w:rPr>
                <w:rFonts w:ascii="Cambria Math" w:hAnsi="Cambria Math"/>
              </w:rPr>
              <m:t xml:space="preserve">c</m:t>
            </m:r>
            <m:r>
              <w:rPr>
                <w:rFonts w:ascii="Cambria Math" w:hAnsi="Cambria Math"/>
              </w:rPr>
              <m:t xml:space="preserve">)</m:t>
            </m:r>
          </m:num>
          <m:den>
            <m:r>
              <w:rPr>
                <w:rFonts w:ascii="Cambria Math" w:hAnsi="Cambria Math"/>
              </w:rPr>
              <m:t xml:space="preserve">9</m:t>
            </m:r>
          </m:den>
        </m:f>
      </m:oMath>
      <w:r>
        <w:rPr>
          <w:rFonts w:eastAsia="ArialMT" w:cs="Times New Roman" w:ascii="Times New Roman" w:hAnsi="Times New Roman"/>
          <w:color w:val="000000"/>
          <w:lang w:bidi="ar-SA"/>
        </w:rPr>
        <w:t xml:space="preserve">                                                                  </w:t>
      </w:r>
      <w:r>
        <w:rPr>
          <w:rFonts w:eastAsia="ArialMT" w:cs="Times New Roman" w:ascii="Times New Roman" w:hAnsi="Times New Roman"/>
          <w:color w:val="000000"/>
          <w:lang w:bidi="ar-SA"/>
        </w:rPr>
        <w:t>(1)</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onde:</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(a) - EXPERIÊNCIA</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(b) - INSTALAÇÕES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(c) – VEÍCULOS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i – licitante i</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MS Mincho" w:cs="Times New Roman" w:ascii="Times New Roman" w:hAnsi="Times New Roman"/>
          <w:bCs/>
          <w:color w:val="00000A"/>
          <w:lang w:eastAsia="ar-SA" w:bidi="ar-SA"/>
        </w:rPr>
        <w:t>7.2.</w:t>
      </w:r>
      <w:r>
        <w:rPr>
          <w:rFonts w:eastAsia="MS Mincho" w:cs="Times New Roman" w:ascii="Times New Roman" w:hAnsi="Times New Roman"/>
          <w:b/>
          <w:bCs/>
          <w:color w:val="00000A"/>
          <w:lang w:eastAsia="ar-SA" w:bidi="ar-SA"/>
        </w:rPr>
        <w:t xml:space="preserve"> NOTA DE PREÇO – </w:t>
      </w:r>
      <w:r>
        <w:rPr>
          <w:rFonts w:eastAsia="MS Mincho" w:cs="Times New Roman" w:ascii="Times New Roman" w:hAnsi="Times New Roman"/>
          <w:bCs/>
          <w:color w:val="00000A"/>
          <w:lang w:eastAsia="ar-SA" w:bidi="ar-SA"/>
        </w:rPr>
        <w:t>O preço ofertado para a OUTORGA FIXA será relativizado à maior oferta entre os licitantes, considerado o truncamento na quarta casa decimal, a fim de determinar o índice de preço do licitante (ip):</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ArialMT" w:cs="Times New Roman" w:ascii="Times New Roman" w:hAnsi="Times New Roman"/>
          <w:color w:val="000000"/>
          <w:lang w:bidi="ar-SA"/>
        </w:rPr>
        <w:t xml:space="preserve">                                                                 </w:t>
      </w:r>
      <w:r>
        <w:rPr/>
      </w:r>
      <m:oMath xmlns:m="http://schemas.openxmlformats.org/officeDocument/2006/math">
        <m:sSub>
          <m:e>
            <m:r>
              <w:rPr>
                <w:rFonts w:ascii="Cambria Math" w:hAnsi="Cambria Math"/>
              </w:rPr>
              <m:t xml:space="preserve">ip</m:t>
            </m:r>
          </m:e>
          <m:sub>
            <m:r>
              <w:rPr>
                <w:rFonts w:ascii="Cambria Math" w:hAnsi="Cambria Math"/>
              </w:rPr>
              <m:t xml:space="preserve">i</m:t>
            </m:r>
          </m:sub>
        </m:sSub>
        <m:r>
          <w:rPr>
            <w:rFonts w:ascii="Cambria Math" w:hAnsi="Cambria Math"/>
          </w:rPr>
          <m:t xml:space="preserve">=</m:t>
        </m:r>
        <m:f>
          <m:num>
            <m:sSub>
              <m:e>
                <m:r>
                  <w:rPr>
                    <w:rFonts w:ascii="Cambria Math" w:hAnsi="Cambria Math"/>
                  </w:rPr>
                  <m:t xml:space="preserve">Oferta</m:t>
                </m:r>
              </m:e>
              <m:sub>
                <m:r>
                  <w:rPr>
                    <w:rFonts w:ascii="Cambria Math" w:hAnsi="Cambria Math"/>
                  </w:rPr>
                  <m:t xml:space="preserve">i</m:t>
                </m:r>
              </m:sub>
            </m:sSub>
          </m:num>
          <m:den>
            <m:r>
              <w:rPr>
                <w:rFonts w:ascii="Cambria Math" w:hAnsi="Cambria Math"/>
              </w:rPr>
              <m:t xml:space="preserve">Maior</m:t>
            </m:r>
            <m:r>
              <w:rPr>
                <w:rFonts w:ascii="Cambria Math" w:hAnsi="Cambria Math"/>
              </w:rPr>
              <m:t xml:space="preserve">Oferta</m:t>
            </m:r>
          </m:den>
        </m:f>
      </m:oMath>
      <w:r>
        <w:rPr>
          <w:rFonts w:eastAsia="ArialMT" w:cs="Times New Roman" w:ascii="Times New Roman" w:hAnsi="Times New Roman"/>
          <w:color w:val="000000"/>
          <w:lang w:bidi="ar-SA"/>
        </w:rPr>
        <w:t xml:space="preserve">                                                               </w:t>
      </w:r>
      <w:r>
        <w:rPr>
          <w:rFonts w:eastAsia="ArialMT" w:cs="Times New Roman" w:ascii="Times New Roman" w:hAnsi="Times New Roman"/>
          <w:color w:val="000000"/>
          <w:lang w:bidi="ar-SA"/>
        </w:rPr>
        <w:t>(2)</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onde:</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pPr>
      <w:r>
        <w:rPr>
          <w:rFonts w:eastAsia="ArialMT" w:cs="Times New Roman" w:ascii="Times New Roman" w:hAnsi="Times New Roman"/>
          <w:color w:val="000000"/>
          <w:lang w:bidi="ar-SA"/>
        </w:rPr>
        <w:t>Ofertaᵢ</w:t>
      </w:r>
      <w:r>
        <w:rPr>
          <w:rFonts w:eastAsia="ArialMT" w:cs="Times New Roman" w:ascii="Forte" w:hAnsi="Forte"/>
          <w:color w:val="000000"/>
          <w:lang w:bidi="ar-SA"/>
        </w:rPr>
        <w:t xml:space="preserve"> </w:t>
      </w:r>
      <w:r>
        <w:rPr>
          <w:rFonts w:eastAsia="ArialMT" w:cs="Times New Roman" w:ascii="Times New Roman" w:hAnsi="Times New Roman"/>
          <w:color w:val="000000"/>
          <w:lang w:bidi="ar-SA"/>
        </w:rPr>
        <w:t>– Oferta do licitante i em análise</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Maior Oferta – Maior oferta entre os licitantes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i – licitante i</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MS Mincho" w:cs="Times New Roman" w:ascii="Times New Roman" w:hAnsi="Times New Roman"/>
          <w:bCs/>
          <w:color w:val="00000A"/>
          <w:lang w:eastAsia="ar-SA" w:bidi="ar-SA"/>
        </w:rPr>
        <w:t>7.3.</w:t>
      </w:r>
      <w:r>
        <w:rPr>
          <w:rFonts w:eastAsia="MS Mincho" w:cs="Times New Roman" w:ascii="Times New Roman" w:hAnsi="Times New Roman"/>
          <w:b/>
          <w:bCs/>
          <w:color w:val="00000A"/>
          <w:lang w:eastAsia="ar-SA" w:bidi="ar-SA"/>
        </w:rPr>
        <w:t xml:space="preserve"> NOTA FINAL</w:t>
      </w:r>
      <w:r>
        <w:rPr>
          <w:rFonts w:eastAsia="MS Mincho" w:cs="Times New Roman" w:ascii="Times New Roman" w:hAnsi="Times New Roman"/>
          <w:bCs/>
          <w:color w:val="00000A"/>
          <w:lang w:eastAsia="ar-SA" w:bidi="ar-SA"/>
        </w:rPr>
        <w:t xml:space="preserve"> – A nota final para cada licitante será a ponderação entre o índice técnico (it) e o índice preço (ip) na proporção de 50% para cada índice, resultando um valor entre 0 (zero) e 1 (um):</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MS Mincho" w:cs="Times New Roman"/>
          <w:bCs/>
          <w:color w:val="00000A"/>
          <w:lang w:eastAsia="ar-SA" w:bidi="ar-SA"/>
        </w:rPr>
      </w:pPr>
      <w:r>
        <w:rPr>
          <w:rFonts w:eastAsia="MS Mincho" w:cs="Times New Roman" w:ascii="Times New Roman" w:hAnsi="Times New Roman"/>
          <w:bCs/>
          <w:color w:val="00000A"/>
          <w:lang w:eastAsia="ar-SA"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MS Mincho" w:cs="Times New Roman" w:ascii="Times New Roman" w:hAnsi="Times New Roman"/>
          <w:color w:val="000000"/>
          <w:lang w:bidi="ar-SA"/>
        </w:rPr>
        <w:t xml:space="preserve">                                                        </w:t>
      </w:r>
      <w:r>
        <w:rPr/>
      </w:r>
      <m:oMath xmlns:m="http://schemas.openxmlformats.org/officeDocument/2006/math">
        <m:sSub>
          <m:e>
            <m:r>
              <w:rPr>
                <w:rFonts w:ascii="Cambria Math" w:hAnsi="Cambria Math"/>
              </w:rPr>
              <m:t xml:space="preserve">nf</m:t>
            </m:r>
          </m:e>
          <m:sub>
            <m:r>
              <w:rPr>
                <w:rFonts w:ascii="Cambria Math" w:hAnsi="Cambria Math"/>
              </w:rPr>
              <m:t xml:space="preserve">i</m:t>
            </m:r>
          </m:sub>
        </m:sSub>
        <m:r>
          <w:rPr>
            <w:rFonts w:ascii="Cambria Math" w:hAnsi="Cambria Math"/>
          </w:rPr>
          <m:t xml:space="preserve">=</m:t>
        </m:r>
        <m:r>
          <w:rPr>
            <w:rFonts w:ascii="Cambria Math" w:hAnsi="Cambria Math"/>
          </w:rPr>
          <m:t xml:space="preserve">0</m:t>
        </m:r>
        <m:r>
          <w:rPr>
            <w:rFonts w:ascii="Cambria Math" w:hAnsi="Cambria Math"/>
          </w:rPr>
          <m:t xml:space="preserve">,5</m:t>
        </m:r>
        <m:r>
          <w:rPr>
            <w:rFonts w:ascii="Cambria Math" w:hAnsi="Cambria Math"/>
          </w:rPr>
          <m:t xml:space="preserve">∗</m:t>
        </m:r>
        <m:sSub>
          <m:e/>
          <m:sub>
            <m:r>
              <w:rPr>
                <w:rFonts w:ascii="Cambria Math" w:hAnsi="Cambria Math"/>
              </w:rPr>
              <m:t xml:space="preserve">i</m:t>
            </m:r>
          </m:sub>
        </m:sSub>
        <m:r>
          <w:rPr>
            <w:rFonts w:ascii="Cambria Math" w:hAnsi="Cambria Math"/>
          </w:rPr>
          <m:t xml:space="preserve">+</m:t>
        </m:r>
        <m:r>
          <w:rPr>
            <w:rFonts w:ascii="Cambria Math" w:hAnsi="Cambria Math"/>
          </w:rPr>
          <m:t xml:space="preserve">0</m:t>
        </m:r>
        <m:r>
          <w:rPr>
            <w:rFonts w:ascii="Cambria Math" w:hAnsi="Cambria Math"/>
          </w:rPr>
          <m:t xml:space="preserve">,5</m:t>
        </m:r>
        <m:r>
          <w:rPr>
            <w:rFonts w:ascii="Cambria Math" w:hAnsi="Cambria Math"/>
          </w:rPr>
          <m:t xml:space="preserve">∗</m:t>
        </m:r>
        <m:sSub>
          <m:e>
            <m:r>
              <w:rPr>
                <w:rFonts w:ascii="Cambria Math" w:hAnsi="Cambria Math"/>
              </w:rPr>
              <m:t xml:space="preserve">ip</m:t>
            </m:r>
          </m:e>
          <m:sub>
            <m:r>
              <w:rPr>
                <w:rFonts w:ascii="Cambria Math" w:hAnsi="Cambria Math"/>
              </w:rPr>
              <m:t xml:space="preserve">i</m:t>
            </m:r>
          </m:sub>
        </m:sSub>
      </m:oMath>
      <w:r>
        <w:rPr>
          <w:rFonts w:eastAsia="MS Mincho" w:cs="Times New Roman" w:ascii="Times New Roman" w:hAnsi="Times New Roman"/>
          <w:color w:val="000000"/>
          <w:lang w:bidi="ar-SA"/>
        </w:rPr>
        <w:t xml:space="preserve">                                                                </w:t>
      </w:r>
      <w:r>
        <w:rPr>
          <w:rFonts w:eastAsia="MS Mincho" w:cs="Times New Roman" w:ascii="Times New Roman" w:hAnsi="Times New Roman"/>
          <w:color w:val="000000"/>
          <w:lang w:bidi="ar-SA"/>
        </w:rPr>
        <w:t>(3)</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pPr>
      <w:r>
        <w:rPr>
          <w:rFonts w:eastAsia="MS Mincho" w:cs="Times New Roman" w:ascii="Times New Roman" w:hAnsi="Times New Roman"/>
          <w:bCs/>
          <w:color w:val="00000A"/>
          <w:lang w:eastAsia="ar-SA" w:bidi="ar-SA"/>
        </w:rPr>
        <w:t xml:space="preserve"> </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onde:</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pPr>
      <w:r>
        <w:rPr/>
      </w:r>
      <m:oMath xmlns:m="http://schemas.openxmlformats.org/officeDocument/2006/math">
        <m:sSub>
          <m:e>
            <m:r>
              <w:rPr>
                <w:rFonts w:ascii="Cambria Math" w:hAnsi="Cambria Math"/>
              </w:rPr>
              <m:t xml:space="preserve">nf</m:t>
            </m:r>
          </m:e>
          <m:sub>
            <m:r>
              <w:rPr>
                <w:rFonts w:ascii="Cambria Math" w:hAnsi="Cambria Math"/>
              </w:rPr>
              <m:t xml:space="preserve">i</m:t>
            </m:r>
          </m:sub>
        </m:sSub>
      </m:oMath>
      <w:r>
        <w:rPr>
          <w:rFonts w:eastAsia="ArialMT" w:cs="Times New Roman" w:ascii="Times New Roman" w:hAnsi="Times New Roman"/>
          <w:color w:val="000000"/>
          <w:lang w:bidi="ar-SA"/>
        </w:rPr>
        <w:t>- nota final do licitante i em análise</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pPr>
      <w:r>
        <w:rPr/>
      </w:r>
      <m:oMath xmlns:m="http://schemas.openxmlformats.org/officeDocument/2006/math">
        <m:sSub>
          <m:e/>
          <m:sub>
            <m:r>
              <w:rPr>
                <w:rFonts w:ascii="Cambria Math" w:hAnsi="Cambria Math"/>
              </w:rPr>
              <m:t xml:space="preserve">i</m:t>
            </m:r>
          </m:sub>
        </m:sSub>
      </m:oMath>
      <w:r>
        <w:rPr>
          <w:rFonts w:eastAsia="ArialMT" w:cs="Times New Roman" w:ascii="Times New Roman" w:hAnsi="Times New Roman"/>
          <w:color w:val="000000"/>
          <w:lang w:bidi="ar-SA"/>
        </w:rPr>
        <w:t xml:space="preserve"> – </w:t>
      </w:r>
      <w:r>
        <w:rPr>
          <w:rFonts w:eastAsia="ArialMT" w:cs="Times New Roman" w:ascii="Times New Roman" w:hAnsi="Times New Roman"/>
          <w:color w:val="000000"/>
          <w:lang w:bidi="ar-SA"/>
        </w:rPr>
        <w:t>índice técnico do licitante i em análise</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pPr>
      <w:r>
        <w:rPr/>
      </w:r>
      <m:oMath xmlns:m="http://schemas.openxmlformats.org/officeDocument/2006/math">
        <m:sSub>
          <m:e>
            <m:r>
              <w:rPr>
                <w:rFonts w:ascii="Cambria Math" w:hAnsi="Cambria Math"/>
              </w:rPr>
              <m:t xml:space="preserve">ip</m:t>
            </m:r>
          </m:e>
          <m:sub>
            <m:r>
              <w:rPr>
                <w:rFonts w:ascii="Cambria Math" w:hAnsi="Cambria Math"/>
              </w:rPr>
              <m:t xml:space="preserve">i</m:t>
            </m:r>
          </m:sub>
        </m:sSub>
      </m:oMath>
      <w:r>
        <w:rPr>
          <w:rFonts w:eastAsia="ArialMT" w:cs="Times New Roman" w:ascii="Times New Roman" w:hAnsi="Times New Roman"/>
          <w:color w:val="000000"/>
          <w:lang w:bidi="ar-SA"/>
        </w:rPr>
        <w:t xml:space="preserve"> – </w:t>
      </w:r>
      <w:r>
        <w:rPr>
          <w:rFonts w:eastAsia="ArialMT" w:cs="Times New Roman" w:ascii="Times New Roman" w:hAnsi="Times New Roman"/>
          <w:color w:val="000000"/>
          <w:lang w:bidi="ar-SA"/>
        </w:rPr>
        <w:t>índice técnico do licitante i em análise</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ind w:left="360"/>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i – licitante i</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7.4. As propostas comerciais serão julgadas, avaliadas e classificadas de acordo com os fatores enunciados neste Edital, sendo que a ordem de classificação será decrescente a partir da licitante com maior pontuação e indicada na ata da sessão.</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7.5. As licitantes que não obtiverem pontuação mínima, em qualquer dos quesitos, serão automaticamente desclassificadas.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t>7.6. Ocorrendo empate na Nota Final entre 02 (duas) ou mais licitantes o desempate será realizado pela Comissão de Licitação, no ato, por sorteio na presença dos interessados presentes, nos termos do na forma do art. 60º, § 2º, da Lei nº 14.133, de 1º de abril de 2021, para o qual serão convocados os representantes credenciados dos licitantes empatados.</w:t>
      </w:r>
    </w:p>
    <w:p>
      <w:pPr>
        <w:pStyle w:val="Standard"/>
        <w:tabs>
          <w:tab w:val="clear" w:pos="709"/>
          <w:tab w:val="left" w:pos="860" w:leader="none"/>
          <w:tab w:val="left" w:pos="1304" w:leader="none"/>
          <w:tab w:val="left" w:pos="2024" w:leader="none"/>
          <w:tab w:val="left" w:pos="2744" w:leader="none"/>
          <w:tab w:val="left" w:pos="3464" w:leader="none"/>
          <w:tab w:val="left" w:pos="4184" w:leader="none"/>
          <w:tab w:val="left" w:pos="4904" w:leader="none"/>
          <w:tab w:val="left" w:pos="5624" w:leader="none"/>
          <w:tab w:val="left" w:pos="6344" w:leader="none"/>
          <w:tab w:val="left" w:pos="7064" w:leader="none"/>
        </w:tabs>
        <w:jc w:val="both"/>
        <w:textAlignment w:val="top"/>
        <w:rPr>
          <w:rFonts w:ascii="Times New Roman" w:hAnsi="Times New Roman" w:eastAsia="ArialMT" w:cs="Times New Roman"/>
          <w:color w:val="000000"/>
          <w:lang w:bidi="ar-SA"/>
        </w:rPr>
      </w:pPr>
      <w:r>
        <w:rPr>
          <w:rFonts w:eastAsia="ArialMT" w:cs="Times New Roman" w:ascii="Times New Roman" w:hAnsi="Times New Roman"/>
          <w:color w:val="000000"/>
          <w:lang w:bidi="ar-SA"/>
        </w:rPr>
      </w:r>
    </w:p>
    <w:p>
      <w:pPr>
        <w:pStyle w:val="Heading1"/>
        <w:rPr/>
      </w:pPr>
      <w:bookmarkStart w:id="29" w:name="_Toc224628437"/>
      <w:r>
        <w:rPr>
          <w:rFonts w:eastAsia="ArialMT" w:cs="Times New Roman" w:ascii="Times New Roman" w:hAnsi="Times New Roman"/>
          <w:color w:val="000000"/>
          <w:lang w:bidi="ar-SA"/>
        </w:rPr>
        <w:t>8</w:t>
      </w:r>
      <w:bookmarkStart w:id="30" w:name="_Toc220503774"/>
      <w:bookmarkStart w:id="31" w:name="_Toc193803146"/>
      <w:bookmarkStart w:id="32" w:name="__RefHeading___Toc6454_3060003715"/>
      <w:r>
        <w:rPr>
          <w:rFonts w:cs="Times New Roman" w:ascii="Times New Roman" w:hAnsi="Times New Roman"/>
          <w:sz w:val="24"/>
        </w:rPr>
        <w:t>. DA ADJUDICAÇÃO E HOMOLOGAÇÃO</w:t>
      </w:r>
      <w:bookmarkEnd w:id="29"/>
      <w:bookmarkEnd w:id="30"/>
      <w:bookmarkEnd w:id="31"/>
      <w:bookmarkEnd w:id="32"/>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MS Mincho" w:cs="Times New Roman"/>
          <w:b/>
          <w:bCs/>
          <w:color w:val="00000A"/>
          <w:lang w:eastAsia="ar-SA" w:bidi="ar-SA"/>
        </w:rPr>
      </w:pPr>
      <w:r>
        <w:rPr>
          <w:rFonts w:eastAsia="MS Mincho" w:cs="Times New Roman" w:ascii="Times New Roman" w:hAnsi="Times New Roman"/>
          <w:b/>
          <w:bCs/>
          <w:color w:val="00000A"/>
          <w:lang w:eastAsia="ar-SA" w:bidi="ar-SA"/>
        </w:rPr>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MS Mincho" w:cs="Times New Roman" w:ascii="Times New Roman" w:hAnsi="Times New Roman"/>
          <w:b/>
          <w:bCs/>
          <w:color w:val="00000A"/>
          <w:lang w:eastAsia="ar-SA" w:bidi="ar-SA"/>
        </w:rPr>
        <w:t xml:space="preserve">8.1. </w:t>
      </w:r>
      <w:r>
        <w:rPr>
          <w:rFonts w:eastAsia="MS Mincho" w:cs="Times New Roman" w:ascii="Times New Roman" w:hAnsi="Times New Roman"/>
          <w:color w:val="000000"/>
          <w:lang w:eastAsia="ar-SA"/>
        </w:rPr>
        <w:t>Encerrada a etapa de PROPOSTA COMERCIAL, d</w:t>
      </w:r>
      <w:r>
        <w:rPr>
          <w:rFonts w:eastAsia="MS Mincho" w:cs="Times New Roman" w:ascii="Times New Roman" w:hAnsi="Times New Roman"/>
          <w:lang w:eastAsia="ar-SA"/>
        </w:rPr>
        <w:t>ecididos os eventuais recursos e constatada a regularidade dos atos procedimentais,</w:t>
      </w:r>
      <w:r>
        <w:rPr>
          <w:rFonts w:eastAsia="MS Mincho" w:cs="Times New Roman" w:ascii="Times New Roman" w:hAnsi="Times New Roman"/>
          <w:color w:val="000000"/>
          <w:lang w:eastAsia="ar-SA"/>
        </w:rPr>
        <w:t xml:space="preserve"> o processo será encaminhado à autoridade superior para adjudicação do objeto e homologação do procedimento, observado, no que couber, o disposto no art. 71 da Lei n.º 14.133/21.</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FF0000"/>
          <w:lang w:eastAsia="ar-SA" w:bidi="ar-SA"/>
        </w:rPr>
      </w:pPr>
      <w:r>
        <w:rPr>
          <w:rFonts w:eastAsia="ArialMT" w:cs="Times New Roman" w:ascii="Times New Roman" w:hAnsi="Times New Roman"/>
          <w:color w:val="FF0000"/>
          <w:lang w:eastAsia="ar-SA" w:bidi="ar-SA"/>
        </w:rPr>
      </w:r>
    </w:p>
    <w:p>
      <w:pPr>
        <w:pStyle w:val="Heading1"/>
        <w:rPr>
          <w:rFonts w:ascii="Times New Roman" w:hAnsi="Times New Roman" w:eastAsia="Arial" w:cs="Times New Roman"/>
          <w:bCs/>
          <w:color w:val="000000"/>
          <w:sz w:val="24"/>
          <w:lang w:bidi="ar-SA"/>
        </w:rPr>
      </w:pPr>
      <w:bookmarkStart w:id="33" w:name="__RefHeading___Toc6456_3060003715"/>
      <w:bookmarkStart w:id="34" w:name="_Toc224628438"/>
      <w:bookmarkStart w:id="35" w:name="_Toc220503775"/>
      <w:bookmarkStart w:id="36" w:name="_Toc193803147"/>
      <w:bookmarkEnd w:id="33"/>
      <w:r>
        <w:rPr>
          <w:rFonts w:eastAsia="Arial" w:cs="Times New Roman" w:ascii="Times New Roman" w:hAnsi="Times New Roman"/>
          <w:bCs/>
          <w:color w:val="000000"/>
          <w:sz w:val="24"/>
          <w:lang w:bidi="ar-SA"/>
        </w:rPr>
        <w:t>9. DA ASSINATURA DO CONTRATO</w:t>
      </w:r>
      <w:bookmarkEnd w:id="36"/>
      <w:r>
        <w:rPr>
          <w:rFonts w:eastAsia="Arial" w:cs="Times New Roman" w:ascii="Times New Roman" w:hAnsi="Times New Roman"/>
          <w:bCs/>
          <w:color w:val="000000"/>
          <w:sz w:val="24"/>
          <w:lang w:bidi="ar-SA"/>
        </w:rPr>
        <w:t xml:space="preserve"> E ORDEM DE INÍCIO</w:t>
      </w:r>
      <w:bookmarkEnd w:id="34"/>
      <w:bookmarkEnd w:id="35"/>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b/>
          <w:bCs/>
          <w:color w:val="FF0000"/>
          <w:shd w:fill="FFFF00" w:val="clear"/>
          <w:lang w:eastAsia="ar-SA" w:bidi="ar-SA"/>
        </w:rPr>
      </w:pPr>
      <w:r>
        <w:rPr>
          <w:rFonts w:eastAsia="ArialMT" w:cs="Times New Roman" w:ascii="Times New Roman" w:hAnsi="Times New Roman"/>
          <w:b/>
          <w:bCs/>
          <w:color w:val="FF0000"/>
          <w:shd w:fill="FFFF00" w:val="clear"/>
          <w:lang w:eastAsia="ar-SA" w:bidi="ar-SA"/>
        </w:rPr>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 w:cs="Times New Roman" w:ascii="Times New Roman" w:hAnsi="Times New Roman"/>
          <w:b/>
          <w:bCs/>
          <w:color w:val="000000"/>
          <w:lang w:bidi="ar-SA"/>
        </w:rPr>
        <w:t>9.1.</w:t>
      </w:r>
      <w:r>
        <w:rPr>
          <w:rFonts w:eastAsia="Arial" w:cs="Times New Roman" w:ascii="Times New Roman" w:hAnsi="Times New Roman"/>
          <w:color w:val="000000"/>
          <w:lang w:bidi="ar-SA"/>
        </w:rPr>
        <w:t xml:space="preserve"> A partir da publicação no DOE, da adjudicação e homologação, a(s) participante(s) habilitadas terão 15 dias consecutivos para cumprimento das condições para assinatura do contrato, na forma prevista no ANEXO I, ITEM 6, DO TERMO DE REFERÊNCIA.</w:t>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 w:cs="Times New Roman"/>
          <w:color w:val="000000"/>
          <w:lang w:bidi="ar-SA"/>
        </w:rPr>
      </w:pPr>
      <w:r>
        <w:rPr>
          <w:rFonts w:eastAsia="Arial" w:cs="Times New Roman" w:ascii="Times New Roman" w:hAnsi="Times New Roman"/>
          <w:color w:val="000000"/>
          <w:lang w:bidi="ar-SA"/>
        </w:rPr>
      </w:r>
    </w:p>
    <w:p>
      <w:pPr>
        <w:pStyle w:val="ListParagraph"/>
        <w:keepLines/>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 w:cs="Times New Roman" w:ascii="Times New Roman" w:hAnsi="Times New Roman"/>
          <w:b/>
          <w:bCs/>
          <w:color w:val="000000"/>
          <w:lang w:bidi="ar-SA"/>
        </w:rPr>
        <w:t>9.2.</w:t>
      </w:r>
      <w:r>
        <w:rPr>
          <w:rFonts w:eastAsia="Arial" w:cs="Times New Roman" w:ascii="Times New Roman" w:hAnsi="Times New Roman"/>
          <w:color w:val="000000"/>
          <w:lang w:bidi="ar-SA"/>
        </w:rPr>
        <w:t xml:space="preserve"> A partir da assinatura do contrato, a(s) concessionária(s) terá os prazos estipulados nos anexos do Termo de Referência.</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 w:cs="Times New Roman"/>
          <w:color w:val="000000"/>
          <w:shd w:fill="FFFF00" w:val="clear"/>
          <w:lang w:bidi="ar-SA"/>
        </w:rPr>
      </w:pPr>
      <w:r>
        <w:rPr>
          <w:rFonts w:eastAsia="Arial" w:cs="Times New Roman" w:ascii="Times New Roman" w:hAnsi="Times New Roman"/>
          <w:color w:val="000000"/>
          <w:shd w:fill="FFFF00" w:val="clear"/>
          <w:lang w:bidi="ar-SA"/>
        </w:rPr>
      </w:r>
    </w:p>
    <w:p>
      <w:pPr>
        <w:pStyle w:val="Heading1"/>
        <w:rPr/>
      </w:pPr>
      <w:bookmarkStart w:id="37" w:name="__RefHeading___Toc8925_1284342805"/>
      <w:bookmarkStart w:id="38" w:name="_Toc224628439"/>
      <w:bookmarkStart w:id="39" w:name="_Toc193803148"/>
      <w:bookmarkStart w:id="40" w:name="_Toc220503776"/>
      <w:bookmarkEnd w:id="37"/>
      <w:r>
        <w:rPr>
          <w:rFonts w:cs="Times New Roman" w:ascii="Times New Roman" w:hAnsi="Times New Roman"/>
          <w:sz w:val="24"/>
        </w:rPr>
        <w:t>10.</w:t>
      </w:r>
      <w:r>
        <w:rPr>
          <w:rFonts w:cs="Times New Roman" w:ascii="Times New Roman" w:hAnsi="Times New Roman"/>
          <w:sz w:val="24"/>
          <w:lang w:eastAsia="ar-SA"/>
        </w:rPr>
        <w:t xml:space="preserve"> DA IMPUGNAÇÃO AO EDITAL E DO PEDIDO DE ESCLARECIMENTOS</w:t>
      </w:r>
      <w:bookmarkEnd w:id="38"/>
      <w:bookmarkEnd w:id="39"/>
      <w:bookmarkEnd w:id="40"/>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bidi="ar-SA"/>
        </w:rPr>
        <w:t xml:space="preserve">10.1. </w:t>
      </w:r>
      <w:r>
        <w:rPr>
          <w:rFonts w:eastAsia="ArialMT" w:cs="Times New Roman" w:ascii="Times New Roman" w:hAnsi="Times New Roman"/>
          <w:color w:val="000000"/>
          <w:lang w:bidi="ar-SA"/>
        </w:rPr>
        <w:t>Qualquer pessoa é parte legítima para</w:t>
      </w:r>
      <w:r>
        <w:rPr>
          <w:rFonts w:eastAsia="ArialMT" w:cs="Times New Roman" w:ascii="Times New Roman" w:hAnsi="Times New Roman"/>
          <w:b/>
          <w:bCs/>
          <w:color w:val="000000"/>
          <w:lang w:bidi="ar-SA"/>
        </w:rPr>
        <w:t xml:space="preserve"> impugnar </w:t>
      </w:r>
      <w:r>
        <w:rPr>
          <w:rFonts w:eastAsia="ArialMT" w:cs="Times New Roman" w:ascii="Times New Roman" w:hAnsi="Times New Roman"/>
          <w:color w:val="000000"/>
          <w:lang w:bidi="ar-SA"/>
        </w:rPr>
        <w:t xml:space="preserve">o presente edital por irregularidade ou para </w:t>
      </w:r>
      <w:r>
        <w:rPr>
          <w:rFonts w:eastAsia="ArialMT" w:cs="Times New Roman" w:ascii="Times New Roman" w:hAnsi="Times New Roman"/>
          <w:b/>
          <w:bCs/>
          <w:color w:val="000000"/>
          <w:lang w:bidi="ar-SA"/>
        </w:rPr>
        <w:t>solicitar esclarecimentos</w:t>
      </w:r>
      <w:r>
        <w:rPr>
          <w:rFonts w:eastAsia="ArialMT" w:cs="Times New Roman" w:ascii="Times New Roman" w:hAnsi="Times New Roman"/>
          <w:color w:val="000000"/>
          <w:lang w:bidi="ar-SA"/>
        </w:rPr>
        <w:t xml:space="preserve"> sobre seus termos, devendo encaminhar o pedido </w:t>
      </w:r>
      <w:r>
        <w:rPr>
          <w:rFonts w:eastAsia="ArialMT" w:cs="Times New Roman" w:ascii="Times New Roman" w:hAnsi="Times New Roman"/>
          <w:b/>
          <w:bCs/>
          <w:color w:val="000000"/>
          <w:lang w:bidi="ar-SA"/>
        </w:rPr>
        <w:t xml:space="preserve">até 3 (três) dias úteis </w:t>
      </w:r>
      <w:r>
        <w:rPr>
          <w:rFonts w:eastAsia="ArialMT" w:cs="Times New Roman" w:ascii="Times New Roman" w:hAnsi="Times New Roman"/>
          <w:color w:val="000000"/>
          <w:lang w:bidi="ar-SA"/>
        </w:rPr>
        <w:t>antes da data de abertura do certame.</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bidi="ar-SA"/>
        </w:rPr>
        <w:t>10.2.</w:t>
      </w:r>
      <w:r>
        <w:rPr>
          <w:rFonts w:eastAsia="ArialMT" w:cs="Times New Roman" w:ascii="Times New Roman" w:hAnsi="Times New Roman"/>
          <w:color w:val="000000"/>
          <w:lang w:bidi="ar-SA"/>
        </w:rPr>
        <w:t xml:space="preserve"> A impugnação poderá ser enviada por meio eletrônico (e-mail) cenlic@caxias.rs.gov.br, ou por petição dirigida ou protocolada no endereço Rua Alfredo Chaves, n.º 1.333, Bairro Exposição, CEP 95.020-460, Centro Administrativo Municipal "Vinícius Ribeiro Lisboa", em Caxias do Sul, RS, na Central de Licitações – CENLIC.</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bidi="ar-SA"/>
        </w:rPr>
        <w:t>10.3.</w:t>
      </w:r>
      <w:r>
        <w:rPr>
          <w:rFonts w:eastAsia="ArialMT" w:cs="Times New Roman" w:ascii="Times New Roman" w:hAnsi="Times New Roman"/>
          <w:color w:val="000000"/>
          <w:lang w:bidi="ar-SA"/>
        </w:rPr>
        <w:t xml:space="preserve"> Os pedidos de esclarecimentos deverão ser enviados exclusivamente por meio eletrônico via internet, no seguinte correio eletrônico (e-mail) </w:t>
      </w:r>
      <w:hyperlink r:id="rId4">
        <w:r>
          <w:rPr>
            <w:rStyle w:val="Style4"/>
            <w:rFonts w:eastAsia="ArialMT" w:cs="Times New Roman" w:ascii="Times New Roman" w:hAnsi="Times New Roman"/>
            <w:color w:val="000080"/>
            <w:lang w:bidi="ar-SA"/>
          </w:rPr>
          <w:t>cenlic@caxias.rs.gov.br</w:t>
        </w:r>
      </w:hyperlink>
      <w:r>
        <w:rPr>
          <w:rFonts w:eastAsia="ArialMT" w:cs="Times New Roman" w:ascii="Times New Roman" w:hAnsi="Times New Roman"/>
          <w:color w:val="000000"/>
          <w:lang w:bidi="ar-SA"/>
        </w:rPr>
        <w:t>.</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bidi="ar-SA"/>
        </w:rPr>
        <w:t>10.4.</w:t>
      </w:r>
      <w:r>
        <w:rPr>
          <w:rFonts w:eastAsia="ArialMT" w:cs="Times New Roman" w:ascii="Times New Roman" w:hAnsi="Times New Roman"/>
          <w:color w:val="000000"/>
          <w:lang w:bidi="ar-SA"/>
        </w:rPr>
        <w:t xml:space="preserve"> A resposta à impugnação ou ao pedido de esclarecimentos será divulgado em sítio eletrônico oficial no prazo de até</w:t>
      </w:r>
      <w:r>
        <w:rPr>
          <w:rFonts w:eastAsia="ArialMT" w:cs="Times New Roman" w:ascii="Times New Roman" w:hAnsi="Times New Roman"/>
          <w:b/>
          <w:bCs/>
          <w:color w:val="000000"/>
          <w:lang w:bidi="ar-SA"/>
        </w:rPr>
        <w:t xml:space="preserve"> 3 (três) dias úteis</w:t>
      </w:r>
      <w:r>
        <w:rPr>
          <w:rFonts w:eastAsia="ArialMT" w:cs="Times New Roman" w:ascii="Times New Roman" w:hAnsi="Times New Roman"/>
          <w:color w:val="000000"/>
          <w:lang w:bidi="ar-SA"/>
        </w:rPr>
        <w:t>, limitado ao último dia útil anterior à data da abertura do certame.</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
          <w:bCs/>
          <w:color w:val="000000"/>
          <w:lang w:bidi="ar-SA"/>
        </w:rPr>
      </w:pPr>
      <w:r>
        <w:rPr>
          <w:rFonts w:eastAsia="ArialMT" w:cs="Times New Roman" w:ascii="Times New Roman" w:hAnsi="Times New Roman"/>
          <w:b/>
          <w:bCs/>
          <w:color w:val="000000"/>
          <w:lang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bidi="ar-SA"/>
        </w:rPr>
        <w:t xml:space="preserve">10.5. </w:t>
      </w:r>
      <w:r>
        <w:rPr>
          <w:rFonts w:eastAsia="ArialMT" w:cs="Times New Roman" w:ascii="Times New Roman" w:hAnsi="Times New Roman"/>
          <w:lang w:bidi="ar-SA"/>
        </w:rPr>
        <w:t>As impugnações e pedidos de esclarecimentos não suspendem os prazos previstos no certame.</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keepLines/>
        <w:widowControl w:val="false"/>
        <w:tabs>
          <w:tab w:val="clear" w:pos="709"/>
          <w:tab w:val="left" w:pos="628" w:leader="none"/>
          <w:tab w:val="left" w:pos="1348" w:leader="none"/>
          <w:tab w:val="left" w:pos="2068" w:leader="none"/>
          <w:tab w:val="left" w:pos="2788" w:leader="none"/>
          <w:tab w:val="left" w:pos="3508" w:leader="none"/>
          <w:tab w:val="left" w:pos="4228" w:leader="none"/>
          <w:tab w:val="left" w:pos="4948" w:leader="none"/>
          <w:tab w:val="left" w:pos="5668" w:leader="none"/>
          <w:tab w:val="left" w:pos="6388" w:leader="none"/>
          <w:tab w:val="left" w:pos="7108" w:leader="none"/>
        </w:tabs>
        <w:ind w:left="340"/>
        <w:jc w:val="both"/>
        <w:textAlignment w:val="top"/>
        <w:rPr/>
      </w:pPr>
      <w:r>
        <w:rPr>
          <w:rFonts w:eastAsia="ArialMT" w:cs="Times New Roman" w:ascii="Times New Roman" w:hAnsi="Times New Roman"/>
          <w:b/>
          <w:bCs/>
          <w:lang w:bidi="ar-SA"/>
        </w:rPr>
        <w:t xml:space="preserve">10.5.1. </w:t>
      </w:r>
      <w:r>
        <w:rPr>
          <w:rFonts w:eastAsia="ArialMT" w:cs="Times New Roman" w:ascii="Times New Roman" w:hAnsi="Times New Roman"/>
          <w:lang w:bidi="ar-SA"/>
        </w:rPr>
        <w:t>A concessão de efeito suspensivo à impugnação é medida excepcional e deverá ser motivada pelo agente de contratação, nos autos do processo.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
          <w:bCs/>
          <w:lang w:bidi="ar-SA"/>
        </w:rPr>
      </w:pPr>
      <w:r>
        <w:rPr>
          <w:rFonts w:eastAsia="ArialMT" w:cs="Times New Roman" w:ascii="Times New Roman" w:hAnsi="Times New Roman"/>
          <w:b/>
          <w:bCs/>
          <w:lang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lang w:bidi="ar-SA"/>
        </w:rPr>
        <w:t xml:space="preserve">10.6. </w:t>
      </w:r>
      <w:r>
        <w:rPr>
          <w:rFonts w:eastAsia="ArialMT" w:cs="Times New Roman" w:ascii="Times New Roman" w:hAnsi="Times New Roman"/>
          <w:lang w:bidi="ar-SA"/>
        </w:rPr>
        <w:t>Acolhida a impugnação, será definida e publicada nova data para a realização do certame, exceto se, inquestionavelmente, a alteração não comprometer a elaboração dos documentos de habilitação.</w:t>
      </w:r>
    </w:p>
    <w:p>
      <w:pPr>
        <w:pStyle w:val="Standard"/>
        <w:widowControl w:val="false"/>
        <w:ind w:right="113"/>
        <w:jc w:val="both"/>
        <w:rPr>
          <w:rFonts w:ascii="Times New Roman" w:hAnsi="Times New Roman" w:cs="Times New Roman"/>
        </w:rPr>
      </w:pPr>
      <w:r>
        <w:rPr>
          <w:rFonts w:cs="Times New Roman" w:ascii="Times New Roman" w:hAnsi="Times New Roman"/>
        </w:rPr>
      </w:r>
    </w:p>
    <w:p>
      <w:pPr>
        <w:pStyle w:val="Heading1"/>
        <w:rPr>
          <w:rFonts w:ascii="Times New Roman" w:hAnsi="Times New Roman" w:cs="Times New Roman"/>
          <w:sz w:val="24"/>
        </w:rPr>
      </w:pPr>
      <w:bookmarkStart w:id="41" w:name="__RefHeading___Toc8925_1284342805_Copia_"/>
      <w:bookmarkStart w:id="42" w:name="_Toc224628440"/>
      <w:bookmarkStart w:id="43" w:name="_Toc193803149"/>
      <w:bookmarkStart w:id="44" w:name="_Toc220503777"/>
      <w:bookmarkEnd w:id="41"/>
      <w:r>
        <w:rPr>
          <w:rFonts w:cs="Times New Roman" w:ascii="Times New Roman" w:hAnsi="Times New Roman"/>
          <w:sz w:val="24"/>
        </w:rPr>
        <w:t>11. DOS RECURSOS</w:t>
      </w:r>
      <w:bookmarkEnd w:id="42"/>
      <w:bookmarkEnd w:id="43"/>
      <w:bookmarkEnd w:id="44"/>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11.1.</w:t>
      </w:r>
      <w:r>
        <w:rPr>
          <w:rFonts w:eastAsia="ArialMT" w:cs="Times New Roman" w:ascii="Times New Roman" w:hAnsi="Times New Roman"/>
          <w:color w:val="000000"/>
          <w:lang w:eastAsia="ar-SA" w:bidi="ar-SA"/>
        </w:rPr>
        <w:t xml:space="preserve"> A interposição de recurso referente à habilitação ou inabilitação da(s) participante(s), à anulação ou revogação do certame, observará o disposto no art. 165 da Lei Federal n.º 14.133/2021.</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 xml:space="preserve">11.2. </w:t>
      </w:r>
      <w:r>
        <w:rPr>
          <w:rFonts w:eastAsia="ArialMT" w:cs="Times New Roman" w:ascii="Times New Roman" w:hAnsi="Times New Roman"/>
          <w:color w:val="000000"/>
          <w:lang w:eastAsia="ar-SA" w:bidi="ar-SA"/>
        </w:rPr>
        <w:t xml:space="preserve">O prazo recursal é de </w:t>
      </w:r>
      <w:r>
        <w:rPr>
          <w:rFonts w:eastAsia="ArialMT" w:cs="Times New Roman" w:ascii="Times New Roman" w:hAnsi="Times New Roman"/>
          <w:b/>
          <w:bCs/>
          <w:color w:val="000000"/>
          <w:lang w:eastAsia="ar-SA" w:bidi="ar-SA"/>
        </w:rPr>
        <w:t>3 (três) dias úteis</w:t>
      </w:r>
      <w:r>
        <w:rPr>
          <w:rFonts w:eastAsia="ArialMT" w:cs="Times New Roman" w:ascii="Times New Roman" w:hAnsi="Times New Roman"/>
          <w:color w:val="000000"/>
          <w:lang w:eastAsia="ar-SA" w:bidi="ar-SA"/>
        </w:rPr>
        <w:t>, contados da data de intimação ou de lavratura da ata.</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11.3.</w:t>
      </w:r>
      <w:r>
        <w:rPr>
          <w:rFonts w:eastAsia="ArialMT" w:cs="Times New Roman" w:ascii="Times New Roman" w:hAnsi="Times New Roman"/>
          <w:color w:val="000000"/>
          <w:lang w:eastAsia="ar-SA" w:bidi="ar-SA"/>
        </w:rPr>
        <w:t xml:space="preserve"> Quando o recurso apresentado impugnar o ato de habilitação ou inabilitação da participante, o prazo para apresentação das razões recursais será iniciado na data de intimação da ata de julgamento.</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eastAsia="ar-SA" w:bidi="ar-SA"/>
        </w:rPr>
        <w:t>11.4.</w:t>
      </w:r>
      <w:r>
        <w:rPr>
          <w:rFonts w:eastAsia="ArialMT" w:cs="Times New Roman" w:ascii="Times New Roman" w:hAnsi="Times New Roman"/>
          <w:color w:val="000000"/>
          <w:lang w:eastAsia="ar-SA" w:bidi="ar-SA"/>
        </w:rPr>
        <w:t xml:space="preserve"> O recurso poderá ser enviado por meio eletrônico (e-mail) cenlic@caxias.rs.gov.br, ou por petição dirigida ou protocolada no endereço Rua Alfredo Chaves, n.º 1.333, Bairro Exposição, CEP 95.020-460, Centro Administrativo Municipal "Vinícius Ribeiro Lisboa", em Caxias do Sul, RS, na Central de Licitações – CENLIC.</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 xml:space="preserve">11.5. </w:t>
      </w:r>
      <w:r>
        <w:rPr>
          <w:rFonts w:eastAsia="ArialMT" w:cs="Times New Roman" w:ascii="Times New Roman" w:hAnsi="Times New Roman"/>
          <w:color w:val="000000"/>
          <w:lang w:eastAsia="ar-SA" w:bidi="ar-SA"/>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11.6.</w:t>
      </w:r>
      <w:r>
        <w:rPr>
          <w:rFonts w:eastAsia="ArialMT" w:cs="Times New Roman" w:ascii="Times New Roman" w:hAnsi="Times New Roman"/>
          <w:color w:val="000000"/>
          <w:lang w:eastAsia="ar-SA" w:bidi="ar-SA"/>
        </w:rPr>
        <w:t xml:space="preserve"> Os recursos interpostos fora do prazo não serão conhecidos.</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11.7.</w:t>
      </w:r>
      <w:r>
        <w:rPr>
          <w:rFonts w:eastAsia="ArialMT" w:cs="Times New Roman" w:ascii="Times New Roman" w:hAnsi="Times New Roman"/>
          <w:color w:val="000000"/>
          <w:lang w:eastAsia="ar-SA" w:bidi="ar-SA"/>
        </w:rPr>
        <w:t xml:space="preserve"> O prazo para apresentação de contrarrazões ao recurso pelas demais participantes será de 3 (três) dias úteis, contados da data da intimação pessoal ou da divulgação da interposição do recurso, assegurada a vista imediata dos elementos indispensáveis à defesa de seus interesses.</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11.8.</w:t>
      </w:r>
      <w:r>
        <w:rPr>
          <w:rFonts w:eastAsia="ArialMT" w:cs="Times New Roman" w:ascii="Times New Roman" w:hAnsi="Times New Roman"/>
          <w:color w:val="000000"/>
          <w:lang w:eastAsia="ar-SA" w:bidi="ar-SA"/>
        </w:rPr>
        <w:t xml:space="preserve"> O recurso e o pedido de reconsideração terão efeito suspensivo do ato ou da decisão recorrida até que sobrevenha decisão final da autoridade competente.</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ArialMT" w:cs="Times New Roman" w:ascii="Times New Roman" w:hAnsi="Times New Roman"/>
          <w:b/>
          <w:bCs/>
          <w:color w:val="000000"/>
          <w:lang w:eastAsia="ar-SA" w:bidi="ar-SA"/>
        </w:rPr>
        <w:t>11.9.</w:t>
      </w:r>
      <w:r>
        <w:rPr>
          <w:rFonts w:eastAsia="ArialMT" w:cs="Times New Roman" w:ascii="Times New Roman" w:hAnsi="Times New Roman"/>
          <w:color w:val="000000"/>
          <w:lang w:eastAsia="ar-SA" w:bidi="ar-SA"/>
        </w:rPr>
        <w:t xml:space="preserve"> O acolhimento do recurso invalida tão somente os atos insuscetíveis de aproveitamento.</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ArialMT" w:cs="Times New Roman"/>
          <w:color w:val="000000"/>
          <w:lang w:eastAsia="ar-SA" w:bidi="ar-SA"/>
        </w:rPr>
      </w:pPr>
      <w:r>
        <w:rPr>
          <w:rFonts w:eastAsia="ArialMT"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Times New Roman" w:cs="Times New Roman" w:ascii="Times New Roman" w:hAnsi="Times New Roman"/>
          <w:b/>
          <w:bCs/>
          <w:color w:val="000000"/>
          <w:lang w:eastAsia="ar-SA" w:bidi="ar-SA"/>
        </w:rPr>
        <w:t>11.10.</w:t>
      </w:r>
      <w:r>
        <w:rPr>
          <w:rFonts w:eastAsia="Times New Roman" w:cs="Times New Roman" w:ascii="Times New Roman" w:hAnsi="Times New Roman"/>
          <w:color w:val="000000"/>
          <w:lang w:eastAsia="ar-SA" w:bidi="ar-SA"/>
        </w:rPr>
        <w:t xml:space="preserve"> Os autos do processo permanecerão com vista franqueada por meio do PROA-Cidadão.</w:t>
      </w:r>
    </w:p>
    <w:p>
      <w:pPr>
        <w:pStyle w:val="WW-Corpodetexto31"/>
        <w:widowControl w:val="false"/>
        <w:rPr>
          <w:rFonts w:ascii="Times New Roman" w:hAnsi="Times New Roman" w:cs="Times New Roman"/>
          <w:sz w:val="24"/>
          <w:shd w:fill="FFFF00" w:val="clear"/>
        </w:rPr>
      </w:pPr>
      <w:r>
        <w:rPr>
          <w:rFonts w:cs="Times New Roman" w:ascii="Times New Roman" w:hAnsi="Times New Roman"/>
          <w:sz w:val="24"/>
          <w:shd w:fill="FFFF00" w:val="clear"/>
        </w:rPr>
      </w:r>
    </w:p>
    <w:p>
      <w:pPr>
        <w:pStyle w:val="Heading1"/>
        <w:rPr>
          <w:rFonts w:ascii="Times New Roman" w:hAnsi="Times New Roman" w:cs="Times New Roman"/>
          <w:sz w:val="24"/>
        </w:rPr>
      </w:pPr>
      <w:bookmarkStart w:id="45" w:name="__RefHeading___Toc8929_1284342805"/>
      <w:bookmarkStart w:id="46" w:name="_Toc224628441"/>
      <w:bookmarkStart w:id="47" w:name="_Toc193803150"/>
      <w:bookmarkStart w:id="48" w:name="_Toc220503778"/>
      <w:bookmarkEnd w:id="45"/>
      <w:r>
        <w:rPr>
          <w:rFonts w:cs="Times New Roman" w:ascii="Times New Roman" w:hAnsi="Times New Roman"/>
          <w:sz w:val="24"/>
        </w:rPr>
        <w:t>12. DAS DISPOSIÇÕES GERAIS</w:t>
      </w:r>
      <w:bookmarkEnd w:id="46"/>
      <w:bookmarkEnd w:id="47"/>
      <w:bookmarkEnd w:id="48"/>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color w:val="000000"/>
          <w:lang w:bidi="ar-SA"/>
        </w:rPr>
      </w:pPr>
      <w:r>
        <w:rPr>
          <w:rFonts w:eastAsia="Times New Roman" w:cs="Times New Roman" w:ascii="Times New Roman" w:hAnsi="Times New Roman"/>
          <w:color w:val="000000"/>
          <w:lang w:bidi="ar-SA"/>
        </w:rPr>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cs="Times New Roman" w:ascii="Times New Roman" w:hAnsi="Times New Roman"/>
          <w:b/>
        </w:rPr>
        <w:t xml:space="preserve">12.1. </w:t>
      </w:r>
      <w:r>
        <w:rPr>
          <w:rFonts w:cs="Times New Roman" w:ascii="Times New Roman" w:hAnsi="Times New Roman"/>
        </w:rPr>
        <w:t>Agentes Públicos, assim considerados aqueles do artigo 6.º, inciso V, da Lei n.º 14.133/2021 e</w:t>
      </w:r>
      <w:r>
        <w:rPr>
          <w:rFonts w:eastAsia="Arial, sans-serif" w:cs="Times New Roman" w:ascii="Times New Roman" w:hAnsi="Times New Roman"/>
        </w:rPr>
        <w:t xml:space="preserve"> suas alterações</w:t>
      </w:r>
      <w:r>
        <w:rPr>
          <w:rFonts w:cs="Times New Roman" w:ascii="Times New Roman" w:hAnsi="Times New Roman"/>
        </w:rPr>
        <w:t>, estão impedidos de participar deste certame, (tanto como membro da diretoria da participante ou como do quadro de funcionários desta), por determinação do artigo 9.º, §1.º, do referido Diploma legal, tendo em vista a vedação expressa de contratar com o Município, contida no artigo 22 da Lei Orgânica do Município, bem como no artigo 242, incisos XXI a XXIV, do Estatuto dos Servidores do Município de Caxias do Sul, podendo ser exigida Declaração dessa condição a qualquer tempo, sob as penas da lei.</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color w:val="000000"/>
          <w:lang w:bidi="ar-SA"/>
        </w:rPr>
      </w:pPr>
      <w:r>
        <w:rPr>
          <w:rFonts w:eastAsia="Times New Roman" w:cs="Times New Roman" w:ascii="Times New Roman" w:hAnsi="Times New Roman"/>
          <w:color w:val="000000"/>
          <w:lang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eastAsia="ar-SA" w:bidi="ar-SA"/>
        </w:rPr>
        <w:t xml:space="preserve">12.2. </w:t>
      </w:r>
      <w:r>
        <w:rPr>
          <w:rFonts w:eastAsia="ArialMT" w:cs="Times New Roman" w:ascii="Times New Roman" w:hAnsi="Times New Roman"/>
          <w:color w:val="000000"/>
          <w:lang w:eastAsia="ar-SA" w:bidi="ar-SA"/>
        </w:rPr>
        <w:t>Na contagem dos prazos estabelecidos neste Edital e seus Anexos, excluir-se-á o dia do início e incluir-se-á o do vencimento. Só se iniciam e vencem os prazos em dias de expediente na Administração.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color w:val="000000"/>
          <w:lang w:eastAsia="ar-SA" w:bidi="ar-SA"/>
        </w:rPr>
      </w:pPr>
      <w:r>
        <w:rPr>
          <w:rFonts w:eastAsia="Times New Roman" w:cs="Times New Roman" w:ascii="Times New Roman" w:hAnsi="Times New Roman"/>
          <w:color w:val="000000"/>
          <w:lang w:eastAsia="ar-SA"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Times New Roman" w:cs="Times New Roman" w:ascii="Times New Roman" w:hAnsi="Times New Roman"/>
          <w:b/>
          <w:bCs/>
          <w:color w:val="000000"/>
          <w:lang w:eastAsia="pt-BR"/>
        </w:rPr>
        <w:t xml:space="preserve">12.4. </w:t>
      </w:r>
      <w:r>
        <w:rPr>
          <w:rFonts w:eastAsia="Times New Roman" w:cs="Times New Roman" w:ascii="Times New Roman" w:hAnsi="Times New Roman"/>
          <w:color w:val="000000"/>
          <w:lang w:eastAsia="pt-BR"/>
        </w:rPr>
        <w:t>Uma vez iniciada a sessão, não serão admitidas participantes retardatárias.</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eastAsia="Times New Roman" w:cs="Times New Roman"/>
          <w:color w:val="000000"/>
          <w:lang w:eastAsia="pt-BR"/>
        </w:rPr>
      </w:pPr>
      <w:r>
        <w:rPr>
          <w:rFonts w:eastAsia="Times New Roman" w:cs="Times New Roman" w:ascii="Times New Roman" w:hAnsi="Times New Roman"/>
          <w:color w:val="000000"/>
          <w:lang w:eastAsia="pt-BR"/>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Times New Roman" w:cs="Times New Roman" w:ascii="Times New Roman" w:hAnsi="Times New Roman"/>
          <w:b/>
          <w:bCs/>
          <w:color w:val="000000"/>
          <w:lang w:eastAsia="pt-BR"/>
        </w:rPr>
        <w:t>12.5.</w:t>
      </w:r>
      <w:r>
        <w:rPr>
          <w:rFonts w:eastAsia="Times New Roman" w:cs="Times New Roman" w:ascii="Times New Roman" w:hAnsi="Times New Roman"/>
          <w:color w:val="000000"/>
          <w:lang w:eastAsia="pt-BR"/>
        </w:rPr>
        <w:t xml:space="preserve"> Da sessão de abertura, que será gravada em áudio e vídeo, lavrar-se-á ata circunstanciada, na qual se mencionará tudo o que ocorrer no ato. A ata será assinada pelo Agente/Comissão de Contratação e pelos representantes credenciados, devendo a gravação ser juntada ao processo licitatório após o seu encerramento, conforme §2º e §5º do artigo 17 da Lei de Licitações.</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b/>
          <w:bCs/>
          <w:color w:val="000000"/>
          <w:lang w:bidi="ar-SA"/>
        </w:rPr>
      </w:pPr>
      <w:r>
        <w:rPr>
          <w:rFonts w:eastAsia="Times New Roman" w:cs="Times New Roman" w:ascii="Times New Roman" w:hAnsi="Times New Roman"/>
          <w:b/>
          <w:bCs/>
          <w:color w:val="000000"/>
          <w:lang w:bidi="ar-SA"/>
        </w:rPr>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cs="Times New Roman" w:ascii="Times New Roman" w:hAnsi="Times New Roman"/>
          <w:b/>
        </w:rPr>
        <w:t>12.6. Os documentos apresentados na forma de cópias reprográficas deverão estar autenticados</w:t>
      </w:r>
      <w:r>
        <w:rPr>
          <w:rFonts w:cs="Times New Roman" w:ascii="Times New Roman" w:hAnsi="Times New Roman"/>
        </w:rPr>
        <w:t>,</w:t>
      </w:r>
      <w:r>
        <w:rPr>
          <w:rFonts w:cs="Times New Roman" w:ascii="Times New Roman" w:hAnsi="Times New Roman"/>
          <w:b/>
        </w:rPr>
        <w:t xml:space="preserve"> exceto o disposto no subitem abaixo</w:t>
      </w:r>
      <w:r>
        <w:rPr>
          <w:rFonts w:cs="Times New Roman" w:ascii="Times New Roman" w:hAnsi="Times New Roman"/>
        </w:rPr>
        <w:t xml:space="preserve">. A autenticação dos documentos, feita pela CENLIC, deverá ser solicitada até, no máximo, o </w:t>
      </w:r>
      <w:r>
        <w:rPr>
          <w:rFonts w:cs="Times New Roman" w:ascii="Times New Roman" w:hAnsi="Times New Roman"/>
          <w:u w:val="single"/>
        </w:rPr>
        <w:t>dia útil anterior</w:t>
      </w:r>
      <w:r>
        <w:rPr>
          <w:rFonts w:cs="Times New Roman" w:ascii="Times New Roman" w:hAnsi="Times New Roman"/>
        </w:rPr>
        <w:t xml:space="preserve"> à data marcada para a abertura da presente Chamada Pública, não sendo feita nenhuma autenticação na data de abertura. Caso a participante não autenticar os documentos junto à CENLIC até a data mencionada, deverá fazê-lo em cartório.</w:t>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cs="Times New Roman"/>
        </w:rPr>
      </w:pPr>
      <w:r>
        <w:rPr>
          <w:rFonts w:cs="Times New Roman" w:ascii="Times New Roman" w:hAnsi="Times New Roman"/>
        </w:rPr>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Times New Roman" w:cs="Times New Roman" w:ascii="Times New Roman" w:hAnsi="Times New Roman"/>
          <w:b/>
          <w:lang w:bidi="ar-SA"/>
        </w:rPr>
        <w:t xml:space="preserve">12.7. </w:t>
      </w:r>
      <w:r>
        <w:rPr>
          <w:rFonts w:eastAsia="Times New Roman" w:cs="Times New Roman" w:ascii="Times New Roman" w:hAnsi="Times New Roman"/>
          <w:lang w:bidi="ar-SA"/>
        </w:rPr>
        <w:t xml:space="preserve">Os documentos expedidos pela </w:t>
      </w:r>
      <w:r>
        <w:rPr>
          <w:rFonts w:eastAsia="Times New Roman" w:cs="Times New Roman" w:ascii="Times New Roman" w:hAnsi="Times New Roman"/>
          <w:i/>
          <w:lang w:bidi="ar-SA"/>
        </w:rPr>
        <w:t>Internet</w:t>
      </w:r>
      <w:r>
        <w:rPr>
          <w:rFonts w:eastAsia="Times New Roman" w:cs="Times New Roman" w:ascii="Times New Roman" w:hAnsi="Times New Roman"/>
          <w:lang w:bidi="ar-SA"/>
        </w:rPr>
        <w:t xml:space="preserve"> poderão ser apresentados em </w:t>
      </w:r>
      <w:r>
        <w:rPr>
          <w:rFonts w:eastAsia="Times New Roman" w:cs="Times New Roman" w:ascii="Times New Roman" w:hAnsi="Times New Roman"/>
          <w:b/>
          <w:bCs/>
          <w:u w:val="single"/>
          <w:lang w:bidi="ar-SA"/>
        </w:rPr>
        <w:t>forma original</w:t>
      </w:r>
      <w:r>
        <w:rPr>
          <w:rFonts w:eastAsia="Times New Roman" w:cs="Times New Roman" w:ascii="Times New Roman" w:hAnsi="Times New Roman"/>
          <w:lang w:bidi="ar-SA"/>
        </w:rPr>
        <w:t xml:space="preserve"> ou </w:t>
      </w:r>
      <w:r>
        <w:rPr>
          <w:rFonts w:eastAsia="Times New Roman" w:cs="Times New Roman" w:ascii="Times New Roman" w:hAnsi="Times New Roman"/>
          <w:b/>
          <w:bCs/>
          <w:u w:val="single"/>
          <w:lang w:bidi="ar-SA"/>
        </w:rPr>
        <w:t>cópia reprográfica sem autenticação</w:t>
      </w:r>
      <w:r>
        <w:rPr>
          <w:rFonts w:eastAsia="Times New Roman" w:cs="Times New Roman" w:ascii="Times New Roman" w:hAnsi="Times New Roman"/>
          <w:lang w:bidi="ar-SA"/>
        </w:rPr>
        <w:t>. Entretanto, estarão sujeitos a verificação de sua autenticidade por meio de consulta realizada pela Comissão de Agentes de Contratação.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Times New Roman" w:cs="Times New Roman" w:ascii="Times New Roman" w:hAnsi="Times New Roman"/>
          <w:b/>
          <w:lang w:bidi="ar-SA"/>
        </w:rPr>
        <w:t xml:space="preserve">12.8. </w:t>
      </w:r>
      <w:r>
        <w:rPr>
          <w:rFonts w:eastAsia="Times New Roman" w:cs="Times New Roman" w:ascii="Times New Roman" w:hAnsi="Times New Roman"/>
          <w:lang w:bidi="ar-SA"/>
        </w:rPr>
        <w:t>Todos os documentos deverão ser apresentados, se possível, em folha tamanho A4.</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rPr>
      </w:pPr>
      <w:r>
        <w:rPr>
          <w:rFonts w:eastAsia="Times New Roman" w:cs="Times New Roman" w:ascii="Times New Roman" w:hAnsi="Times New Roman"/>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Times New Roman" w:cs="Times New Roman" w:ascii="Times New Roman" w:hAnsi="Times New Roman"/>
          <w:b/>
          <w:bCs/>
          <w:shd w:fill="FFFFFF" w:val="clear"/>
          <w:lang w:bidi="ar-SA"/>
        </w:rPr>
        <w:t>12.9.</w:t>
      </w:r>
      <w:r>
        <w:rPr>
          <w:rFonts w:eastAsia="Times New Roman" w:cs="Times New Roman" w:ascii="Times New Roman" w:hAnsi="Times New Roman"/>
          <w:b/>
          <w:lang w:bidi="ar-SA"/>
        </w:rPr>
        <w:t xml:space="preserve"> </w:t>
      </w:r>
      <w:r>
        <w:rPr>
          <w:rFonts w:eastAsia="Times New Roman" w:cs="Times New Roman" w:ascii="Times New Roman" w:hAnsi="Times New Roman"/>
          <w:lang w:bidi="ar-SA"/>
        </w:rPr>
        <w:t xml:space="preserve">As Declarações que não tenham sido assinadas por sócio-gerente ou diretor da participante, identificado no Ato Constitutivo deverão vir acompanhadas de </w:t>
      </w:r>
      <w:r>
        <w:rPr>
          <w:rFonts w:eastAsia="Times New Roman" w:cs="Times New Roman" w:ascii="Times New Roman" w:hAnsi="Times New Roman"/>
          <w:b/>
          <w:bCs/>
          <w:lang w:bidi="ar-SA"/>
        </w:rPr>
        <w:t>Procuração</w:t>
      </w:r>
      <w:r>
        <w:rPr>
          <w:rFonts w:eastAsia="Times New Roman" w:cs="Times New Roman" w:ascii="Times New Roman" w:hAnsi="Times New Roman"/>
          <w:lang w:bidi="ar-SA"/>
        </w:rPr>
        <w:t xml:space="preserve"> ou </w:t>
      </w:r>
      <w:r>
        <w:rPr>
          <w:rFonts w:eastAsia="Times New Roman" w:cs="Times New Roman" w:ascii="Times New Roman" w:hAnsi="Times New Roman"/>
          <w:b/>
          <w:bCs/>
          <w:lang w:bidi="ar-SA"/>
        </w:rPr>
        <w:t>Credenciamento</w:t>
      </w:r>
      <w:r>
        <w:rPr>
          <w:rFonts w:eastAsia="Times New Roman" w:cs="Times New Roman" w:ascii="Times New Roman" w:hAnsi="Times New Roman"/>
          <w:lang w:bidi="ar-SA"/>
        </w:rPr>
        <w:t xml:space="preserve"> que conceda poderes ao signatário.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rPr>
      </w:pPr>
      <w:r>
        <w:rPr>
          <w:rFonts w:eastAsia="Times New Roman" w:cs="Times New Roman" w:ascii="Times New Roman" w:hAnsi="Times New Roman"/>
        </w:rPr>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eastAsia="Times New Roman" w:cs="Times New Roman" w:ascii="Times New Roman" w:hAnsi="Times New Roman"/>
          <w:b/>
          <w:bCs/>
        </w:rPr>
        <w:t>12.10.</w:t>
      </w:r>
      <w:r>
        <w:rPr>
          <w:rFonts w:eastAsia="Times New Roman" w:cs="Times New Roman" w:ascii="Times New Roman" w:hAnsi="Times New Roman"/>
        </w:rPr>
        <w:t xml:space="preserve"> Só terão direito a usar a palavra, rubricar a documentação, apresentar reclamações ou recursos e assinar atas, a(s) participante(s) ou seu(s) representante(s) credenciado(s) e os membros da Comissão de Agentes de Contratação.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eastAsia="Times New Roman" w:cs="Times New Roman"/>
        </w:rPr>
      </w:pPr>
      <w:r>
        <w:rPr>
          <w:rFonts w:eastAsia="Times New Roman" w:cs="Times New Roman" w:ascii="Times New Roman" w:hAnsi="Times New Roman"/>
        </w:rPr>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pPr>
      <w:r>
        <w:rPr>
          <w:rFonts w:eastAsia="Times New Roman" w:cs="Times New Roman" w:ascii="Times New Roman" w:hAnsi="Times New Roman"/>
          <w:b/>
        </w:rPr>
        <w:t xml:space="preserve">12.11. </w:t>
      </w:r>
      <w:r>
        <w:rPr>
          <w:rFonts w:eastAsia="Times New Roman" w:cs="Times New Roman" w:ascii="Times New Roman" w:hAnsi="Times New Roman"/>
        </w:rPr>
        <w:t>De todas as reuniões de abertura dos envelopes lavrar-se-á ata circunstanciada, na qual se mencionará tudo o que ocorrer no ato. A ata será assinada pelos membros da Comissão de Agentes de Contratação e pelo(s) representante(s) credenciado(s) presente(s).</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b/>
          <w:bCs/>
          <w:color w:val="000000"/>
          <w:lang w:bidi="ar-SA"/>
        </w:rPr>
      </w:pPr>
      <w:r>
        <w:rPr>
          <w:rFonts w:eastAsia="Times New Roman" w:cs="Times New Roman" w:ascii="Times New Roman" w:hAnsi="Times New Roman"/>
          <w:b/>
          <w:bCs/>
          <w:color w:val="000000"/>
          <w:lang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Times New Roman" w:cs="Times New Roman" w:ascii="Times New Roman" w:hAnsi="Times New Roman"/>
          <w:b/>
          <w:bCs/>
          <w:color w:val="000000"/>
          <w:lang w:eastAsia="ar-SA" w:bidi="ar-SA"/>
        </w:rPr>
        <w:t xml:space="preserve">12.12. </w:t>
      </w:r>
      <w:r>
        <w:rPr>
          <w:rFonts w:eastAsia="Times New Roman" w:cs="Times New Roman" w:ascii="Times New Roman" w:hAnsi="Times New Roman"/>
          <w:bCs/>
          <w:color w:val="000000"/>
          <w:lang w:eastAsia="ar-SA" w:bidi="ar-SA"/>
        </w:rPr>
        <w:t>O desatendimento de exigências formais não essenciais não importará o afastamento da(s) participante(s), desde que seja possível o aproveitamento do ato, observados os princípios da isonomia e do interesse público.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b/>
          <w:bCs/>
          <w:color w:val="000000"/>
          <w:lang w:bidi="ar-SA"/>
        </w:rPr>
      </w:pPr>
      <w:r>
        <w:rPr>
          <w:rFonts w:eastAsia="Times New Roman" w:cs="Times New Roman" w:ascii="Times New Roman" w:hAnsi="Times New Roman"/>
          <w:b/>
          <w:bCs/>
          <w:color w:val="000000"/>
          <w:lang w:bidi="ar-SA"/>
        </w:rPr>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Times New Roman" w:cs="Times New Roman" w:ascii="Times New Roman" w:hAnsi="Times New Roman"/>
          <w:b/>
          <w:bCs/>
          <w:color w:val="000000"/>
          <w:lang w:bidi="ar-SA"/>
        </w:rPr>
        <w:t>12.13.</w:t>
      </w:r>
      <w:r>
        <w:rPr>
          <w:rFonts w:eastAsia="Times New Roman" w:cs="Times New Roman" w:ascii="Times New Roman" w:hAnsi="Times New Roman"/>
          <w:color w:val="000000"/>
          <w:lang w:bidi="ar-SA"/>
        </w:rPr>
        <w:t xml:space="preserve"> </w:t>
      </w:r>
      <w:r>
        <w:rPr>
          <w:rFonts w:eastAsia="Times New Roman" w:cs="Times New Roman" w:ascii="Times New Roman" w:hAnsi="Times New Roman"/>
          <w:color w:val="000000"/>
          <w:lang w:eastAsia="ar-SA" w:bidi="ar-SA"/>
        </w:rPr>
        <w:t>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b/>
          <w:bCs/>
          <w:color w:val="000000"/>
          <w:lang w:bidi="ar-SA"/>
        </w:rPr>
      </w:pPr>
      <w:r>
        <w:rPr>
          <w:rFonts w:eastAsia="Times New Roman" w:cs="Times New Roman" w:ascii="Times New Roman" w:hAnsi="Times New Roman"/>
          <w:b/>
          <w:bCs/>
          <w:color w:val="000000"/>
          <w:lang w:bidi="ar-SA"/>
        </w:rPr>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cs="Times New Roman" w:ascii="Times New Roman" w:hAnsi="Times New Roman"/>
          <w:b/>
          <w:bCs/>
          <w:color w:val="000000"/>
        </w:rPr>
        <w:t>12.14.</w:t>
      </w:r>
      <w:r>
        <w:rPr>
          <w:rFonts w:cs="Times New Roman" w:ascii="Times New Roman" w:hAnsi="Times New Roman"/>
          <w:color w:val="000000"/>
        </w:rPr>
        <w:t xml:space="preserve"> </w:t>
      </w:r>
      <w:r>
        <w:rPr>
          <w:rFonts w:eastAsia="Times New Roman" w:cs="Times New Roman" w:ascii="Times New Roman" w:hAnsi="Times New Roman"/>
          <w:bCs/>
          <w:color w:val="000000"/>
          <w:lang w:eastAsia="ar-SA" w:bidi="ar-SA"/>
        </w:rPr>
        <w:t>A(s) participante(s)</w:t>
      </w:r>
      <w:r>
        <w:rPr>
          <w:rFonts w:cs="Times New Roman" w:ascii="Times New Roman" w:hAnsi="Times New Roman"/>
          <w:color w:val="000000"/>
        </w:rPr>
        <w:t xml:space="preserve"> assumem todos os custos de preparação e apresentação de sua documentação e a Administração não será, em nenhum caso, responsável por esses custos, independentemente da condução ou do resultado do processo de contratação.</w:t>
      </w:r>
    </w:p>
    <w:p>
      <w:pPr>
        <w:pStyle w:val="ListParagraph"/>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rFonts w:ascii="Times New Roman" w:hAnsi="Times New Roman" w:cs="Times New Roman"/>
          <w:color w:val="000000"/>
        </w:rPr>
      </w:pPr>
      <w:r>
        <w:rPr>
          <w:rFonts w:cs="Times New Roman" w:ascii="Times New Roman" w:hAnsi="Times New Roman"/>
          <w:color w:val="000000"/>
        </w:rPr>
      </w:r>
    </w:p>
    <w:p>
      <w:pPr>
        <w:pStyle w:val="ListParagraph"/>
        <w:keepLines/>
        <w:widowControl w:val="false"/>
        <w:tabs>
          <w:tab w:val="clear" w:pos="709"/>
          <w:tab w:val="left" w:pos="8040" w:leader="none"/>
          <w:tab w:val="left" w:pos="8420" w:leader="none"/>
          <w:tab w:val="left" w:pos="8984" w:leader="none"/>
          <w:tab w:val="left" w:pos="9704" w:leader="none"/>
          <w:tab w:val="left" w:pos="10424" w:leader="none"/>
          <w:tab w:val="left" w:pos="11144" w:leader="none"/>
          <w:tab w:val="left" w:pos="11864" w:leader="none"/>
          <w:tab w:val="left" w:pos="12584" w:leader="none"/>
          <w:tab w:val="left" w:pos="13304" w:leader="none"/>
          <w:tab w:val="left" w:pos="14024" w:leader="none"/>
        </w:tabs>
        <w:jc w:val="both"/>
        <w:textAlignment w:val="top"/>
        <w:rPr/>
      </w:pPr>
      <w:r>
        <w:rPr>
          <w:rFonts w:eastAsia="Times New Roman" w:cs="Times New Roman" w:ascii="Times New Roman" w:hAnsi="Times New Roman"/>
          <w:b/>
          <w:bCs/>
          <w:color w:val="000000"/>
        </w:rPr>
        <w:t xml:space="preserve">12.15. </w:t>
      </w:r>
      <w:r>
        <w:rPr>
          <w:rFonts w:eastAsia="Times New Roman" w:cs="Times New Roman" w:ascii="Times New Roman" w:hAnsi="Times New Roman"/>
          <w:color w:val="000000"/>
        </w:rPr>
        <w:t>Em caso de divergência entre disposições deste Edital e de seus Anexos ou demais peças que compõem o processo, prevalecerá as deste Edital.</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rPr>
          <w:rFonts w:ascii="Times New Roman" w:hAnsi="Times New Roman" w:eastAsia="Times New Roman" w:cs="Times New Roman"/>
          <w:b/>
          <w:bCs/>
          <w:shd w:fill="FFFF00" w:val="clear"/>
        </w:rPr>
      </w:pPr>
      <w:r>
        <w:rPr>
          <w:rFonts w:eastAsia="Times New Roman" w:cs="Times New Roman" w:ascii="Times New Roman" w:hAnsi="Times New Roman"/>
          <w:b/>
          <w:bCs/>
          <w:shd w:fill="FFFF00" w:val="clear"/>
        </w:rPr>
      </w:r>
    </w:p>
    <w:p>
      <w:pPr>
        <w:pStyle w:val="Standard"/>
        <w:keepLines/>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Times New Roman" w:cs="Times New Roman" w:ascii="Times New Roman" w:hAnsi="Times New Roman"/>
          <w:b/>
          <w:bCs/>
          <w:lang w:bidi="ar-SA"/>
        </w:rPr>
        <w:t>12.16.</w:t>
      </w:r>
      <w:r>
        <w:rPr>
          <w:rFonts w:eastAsia="Times New Roman" w:cs="Times New Roman" w:ascii="Times New Roman" w:hAnsi="Times New Roman"/>
          <w:b/>
          <w:lang w:bidi="ar-SA"/>
        </w:rPr>
        <w:t xml:space="preserve"> </w:t>
      </w:r>
      <w:r>
        <w:rPr>
          <w:rFonts w:eastAsia="Times New Roman" w:cs="Times New Roman" w:ascii="Times New Roman" w:hAnsi="Times New Roman"/>
          <w:lang w:eastAsia="ar-SA" w:bidi="ar-SA"/>
        </w:rPr>
        <w:t xml:space="preserve">O Edital e seus anexos estão disponíveis, na íntegra, no Portal Nacional de Contratações Públicas (PNCP) e no endereço eletrônico </w:t>
      </w:r>
      <w:hyperlink r:id="rId5">
        <w:r>
          <w:rPr>
            <w:rStyle w:val="Style4"/>
            <w:rFonts w:cs="Times New Roman" w:ascii="Times New Roman" w:hAnsi="Times New Roman"/>
            <w:bCs/>
          </w:rPr>
          <w:t>http://cenlic.caxias.rs.gov.br/licitacoes.php</w:t>
        </w:r>
      </w:hyperlink>
      <w:r>
        <w:rPr>
          <w:rFonts w:eastAsia="Times New Roman" w:cs="Times New Roman" w:ascii="Times New Roman" w:hAnsi="Times New Roman"/>
          <w:lang w:eastAsia="ar-SA" w:bidi="ar-SA"/>
        </w:rPr>
        <w:t xml:space="preserve"> concomitantemente</w:t>
      </w:r>
      <w:r>
        <w:rPr>
          <w:rFonts w:eastAsia="Times New Roman" w:cs="Times New Roman" w:ascii="Times New Roman" w:hAnsi="Times New Roman"/>
          <w:lang w:bidi="ar-SA"/>
        </w:rPr>
        <w:t xml:space="preserve"> com cópia digital dos documentos gerados no decorrer do certame.</w:t>
      </w:r>
    </w:p>
    <w:p>
      <w:pPr>
        <w:pStyle w:val="Standard"/>
        <w:widowControl w:val="fals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Times New Roman" w:cs="Times New Roman"/>
          <w:b/>
        </w:rPr>
      </w:pPr>
      <w:r>
        <w:rPr>
          <w:rFonts w:eastAsia="Times New Roman" w:cs="Times New Roman" w:ascii="Times New Roman" w:hAnsi="Times New Roman"/>
          <w:b/>
        </w:rPr>
      </w:r>
    </w:p>
    <w:p>
      <w:pPr>
        <w:pStyle w:val="Standard"/>
        <w:keepLines/>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pPr>
      <w:r>
        <w:rPr>
          <w:rFonts w:eastAsia="ArialMT" w:cs="Times New Roman" w:ascii="Times New Roman" w:hAnsi="Times New Roman"/>
          <w:b/>
          <w:bCs/>
          <w:color w:val="000000"/>
          <w:lang w:eastAsia="ar-SA" w:bidi="ar-SA"/>
        </w:rPr>
        <w:t xml:space="preserve">12.17. </w:t>
      </w:r>
      <w:r>
        <w:rPr>
          <w:rFonts w:eastAsia="ArialMT" w:cs="Times New Roman" w:ascii="Times New Roman" w:hAnsi="Times New Roman"/>
          <w:bCs/>
          <w:color w:val="000000"/>
          <w:lang w:eastAsia="ar-SA" w:bidi="ar-SA"/>
        </w:rPr>
        <w:t>Integram este Edital, para todos os fins e efeitos, os seguintes Anexos:</w:t>
      </w:r>
    </w:p>
    <w:p>
      <w:pPr>
        <w:pStyle w:val="Standard"/>
        <w:keepLines/>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textAlignment w:val="top"/>
        <w:rPr>
          <w:rFonts w:ascii="Times New Roman" w:hAnsi="Times New Roman" w:eastAsia="ArialMT" w:cs="Times New Roman"/>
          <w:bCs/>
          <w:color w:val="000000"/>
          <w:lang w:eastAsia="ar-SA" w:bidi="ar-SA"/>
        </w:rPr>
      </w:pPr>
      <w:r>
        <w:rPr>
          <w:rFonts w:eastAsia="ArialMT" w:cs="Times New Roman" w:ascii="Times New Roman" w:hAnsi="Times New Roman"/>
          <w:bCs/>
          <w:color w:val="000000"/>
          <w:lang w:eastAsia="ar-SA" w:bidi="ar-SA"/>
        </w:rPr>
      </w:r>
    </w:p>
    <w:tbl>
      <w:tblPr>
        <w:tblW w:w="9261" w:type="dxa"/>
        <w:jc w:val="left"/>
        <w:tblInd w:w="282" w:type="dxa"/>
        <w:tblLayout w:type="fixed"/>
        <w:tblCellMar>
          <w:top w:w="0" w:type="dxa"/>
          <w:left w:w="0" w:type="dxa"/>
          <w:bottom w:w="0" w:type="dxa"/>
          <w:right w:w="0" w:type="dxa"/>
        </w:tblCellMar>
        <w:tblLook w:firstRow="0" w:noVBand="0" w:lastRow="0" w:firstColumn="0" w:lastColumn="0" w:noHBand="0" w:val="0000"/>
      </w:tblPr>
      <w:tblGrid>
        <w:gridCol w:w="1288"/>
        <w:gridCol w:w="264"/>
        <w:gridCol w:w="7709"/>
      </w:tblGrid>
      <w:tr>
        <w:trPr>
          <w:trHeight w:val="118" w:hRule="atLeast"/>
        </w:trPr>
        <w:tc>
          <w:tcPr>
            <w:tcW w:w="1288" w:type="dxa"/>
            <w:tcBorders/>
          </w:tcPr>
          <w:p>
            <w:pPr>
              <w:pStyle w:val="Standard"/>
              <w:keepLines/>
              <w:snapToGrid w:val="false"/>
              <w:jc w:val="both"/>
              <w:rPr>
                <w:rFonts w:ascii="Times New Roman" w:hAnsi="Times New Roman" w:cs="Times New Roman"/>
              </w:rPr>
            </w:pPr>
            <w:r>
              <w:rPr>
                <w:rFonts w:cs="Times New Roman" w:ascii="Times New Roman" w:hAnsi="Times New Roman"/>
              </w:rPr>
              <w:t>Anexo I</w:t>
            </w:r>
          </w:p>
        </w:tc>
        <w:tc>
          <w:tcPr>
            <w:tcW w:w="264" w:type="dxa"/>
            <w:tcBorders/>
          </w:tcPr>
          <w:p>
            <w:pPr>
              <w:pStyle w:val="Standard"/>
              <w:keepLines/>
              <w:snapToGrid w:val="false"/>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w:t>
            </w:r>
          </w:p>
        </w:tc>
        <w:tc>
          <w:tcPr>
            <w:tcW w:w="7709" w:type="dxa"/>
            <w:tcBorders/>
          </w:tcPr>
          <w:p>
            <w:pPr>
              <w:pStyle w:val="Standard"/>
              <w:keepLines/>
              <w:snapToGrid w:val="false"/>
              <w:jc w:val="both"/>
              <w:rPr>
                <w:rFonts w:ascii="Times New Roman" w:hAnsi="Times New Roman" w:cs="Times New Roman"/>
              </w:rPr>
            </w:pPr>
            <w:r>
              <w:rPr>
                <w:rFonts w:cs="Times New Roman" w:ascii="Times New Roman" w:hAnsi="Times New Roman"/>
              </w:rPr>
              <w:t>Termo de Referência (que tem como apêndice o Estudo Técnico Preliminar).</w:t>
            </w:r>
          </w:p>
        </w:tc>
      </w:tr>
      <w:tr>
        <w:trPr/>
        <w:tc>
          <w:tcPr>
            <w:tcW w:w="1288" w:type="dxa"/>
            <w:tcBorders/>
          </w:tcPr>
          <w:p>
            <w:pPr>
              <w:pStyle w:val="Standard"/>
              <w:keepLines/>
              <w:snapToGrid w:val="false"/>
              <w:jc w:val="both"/>
              <w:rPr>
                <w:rFonts w:ascii="Times New Roman" w:hAnsi="Times New Roman" w:cs="Times New Roman"/>
              </w:rPr>
            </w:pPr>
            <w:r>
              <w:rPr>
                <w:rFonts w:cs="Times New Roman" w:ascii="Times New Roman" w:hAnsi="Times New Roman"/>
              </w:rPr>
              <w:t>Anexo II</w:t>
            </w:r>
          </w:p>
        </w:tc>
        <w:tc>
          <w:tcPr>
            <w:tcW w:w="264" w:type="dxa"/>
            <w:tcBorders/>
          </w:tcPr>
          <w:p>
            <w:pPr>
              <w:pStyle w:val="Standard"/>
              <w:keepLines/>
              <w:snapToGrid w:val="false"/>
              <w:jc w:val="center"/>
              <w:rPr>
                <w:rFonts w:ascii="Times New Roman" w:hAnsi="Times New Roman" w:cs="Times New Roman"/>
              </w:rPr>
            </w:pPr>
            <w:r>
              <w:rPr>
                <w:rFonts w:cs="Times New Roman" w:ascii="Times New Roman" w:hAnsi="Times New Roman"/>
              </w:rPr>
              <w:t>-</w:t>
            </w:r>
          </w:p>
        </w:tc>
        <w:tc>
          <w:tcPr>
            <w:tcW w:w="7709" w:type="dxa"/>
            <w:tcBorders/>
          </w:tcPr>
          <w:p>
            <w:pPr>
              <w:pStyle w:val="Standard"/>
              <w:keepLines/>
              <w:snapToGrid w:val="false"/>
              <w:jc w:val="both"/>
              <w:rPr>
                <w:rFonts w:ascii="Times New Roman" w:hAnsi="Times New Roman" w:cs="Times New Roman"/>
              </w:rPr>
            </w:pPr>
            <w:r>
              <w:rPr>
                <w:rFonts w:cs="Times New Roman" w:ascii="Times New Roman" w:hAnsi="Times New Roman"/>
              </w:rPr>
              <w:t>Modelo de Credenciamento.</w:t>
            </w:r>
          </w:p>
        </w:tc>
      </w:tr>
      <w:tr>
        <w:trPr/>
        <w:tc>
          <w:tcPr>
            <w:tcW w:w="1288" w:type="dxa"/>
            <w:tcBorders/>
          </w:tcPr>
          <w:p>
            <w:pPr>
              <w:pStyle w:val="Standard"/>
              <w:keepLines/>
              <w:snapToGrid w:val="false"/>
              <w:jc w:val="both"/>
              <w:rPr>
                <w:rFonts w:ascii="Times New Roman" w:hAnsi="Times New Roman" w:cs="Times New Roman"/>
              </w:rPr>
            </w:pPr>
            <w:r>
              <w:rPr>
                <w:rFonts w:cs="Times New Roman" w:ascii="Times New Roman" w:hAnsi="Times New Roman"/>
              </w:rPr>
              <w:t>Anexo III</w:t>
            </w:r>
          </w:p>
        </w:tc>
        <w:tc>
          <w:tcPr>
            <w:tcW w:w="264" w:type="dxa"/>
            <w:tcBorders/>
          </w:tcPr>
          <w:p>
            <w:pPr>
              <w:pStyle w:val="Standard"/>
              <w:keepLines/>
              <w:snapToGrid w:val="false"/>
              <w:jc w:val="center"/>
              <w:rPr>
                <w:rFonts w:ascii="Times New Roman" w:hAnsi="Times New Roman" w:cs="Times New Roman"/>
              </w:rPr>
            </w:pPr>
            <w:r>
              <w:rPr>
                <w:rFonts w:cs="Times New Roman" w:ascii="Times New Roman" w:hAnsi="Times New Roman"/>
              </w:rPr>
              <w:t>-</w:t>
            </w:r>
          </w:p>
        </w:tc>
        <w:tc>
          <w:tcPr>
            <w:tcW w:w="7709" w:type="dxa"/>
            <w:tcBorders/>
          </w:tcPr>
          <w:p>
            <w:pPr>
              <w:pStyle w:val="Standard"/>
              <w:keepLines/>
              <w:snapToGrid w:val="false"/>
              <w:jc w:val="both"/>
              <w:rPr>
                <w:rFonts w:ascii="Times New Roman" w:hAnsi="Times New Roman" w:cs="Times New Roman"/>
              </w:rPr>
            </w:pPr>
            <w:r>
              <w:rPr>
                <w:rFonts w:cs="Times New Roman" w:ascii="Times New Roman" w:hAnsi="Times New Roman"/>
              </w:rPr>
              <w:t>Modelo de Declaração de ME/EPP.</w:t>
            </w:r>
          </w:p>
        </w:tc>
      </w:tr>
      <w:tr>
        <w:trPr/>
        <w:tc>
          <w:tcPr>
            <w:tcW w:w="1288" w:type="dxa"/>
            <w:tcBorders/>
          </w:tcPr>
          <w:p>
            <w:pPr>
              <w:pStyle w:val="Standard"/>
              <w:keepLines/>
              <w:snapToGrid w:val="false"/>
              <w:jc w:val="both"/>
              <w:rPr>
                <w:rFonts w:ascii="Times New Roman" w:hAnsi="Times New Roman" w:cs="Times New Roman"/>
              </w:rPr>
            </w:pPr>
            <w:r>
              <w:rPr>
                <w:rFonts w:cs="Times New Roman" w:ascii="Times New Roman" w:hAnsi="Times New Roman"/>
              </w:rPr>
              <w:t>Anexo IV</w:t>
            </w:r>
          </w:p>
        </w:tc>
        <w:tc>
          <w:tcPr>
            <w:tcW w:w="264" w:type="dxa"/>
            <w:tcBorders/>
          </w:tcPr>
          <w:p>
            <w:pPr>
              <w:pStyle w:val="Standard"/>
              <w:keepLines/>
              <w:snapToGrid w:val="false"/>
              <w:jc w:val="center"/>
              <w:rPr>
                <w:rFonts w:ascii="Times New Roman" w:hAnsi="Times New Roman" w:cs="Times New Roman"/>
              </w:rPr>
            </w:pPr>
            <w:r>
              <w:rPr>
                <w:rFonts w:cs="Times New Roman" w:ascii="Times New Roman" w:hAnsi="Times New Roman"/>
              </w:rPr>
              <w:t>-</w:t>
            </w:r>
          </w:p>
        </w:tc>
        <w:tc>
          <w:tcPr>
            <w:tcW w:w="7709" w:type="dxa"/>
            <w:tcBorders/>
          </w:tcPr>
          <w:p>
            <w:pPr>
              <w:pStyle w:val="Standard"/>
              <w:keepLines/>
              <w:snapToGrid w:val="false"/>
              <w:jc w:val="both"/>
              <w:rPr>
                <w:rFonts w:ascii="Times New Roman" w:hAnsi="Times New Roman" w:cs="Times New Roman"/>
              </w:rPr>
            </w:pPr>
            <w:r>
              <w:rPr>
                <w:rFonts w:cs="Times New Roman" w:ascii="Times New Roman" w:hAnsi="Times New Roman"/>
              </w:rPr>
              <w:t>Modelo de Declaração Obrigatória para Participação.</w:t>
            </w:r>
          </w:p>
        </w:tc>
      </w:tr>
      <w:tr>
        <w:trPr>
          <w:trHeight w:val="295" w:hRule="atLeast"/>
        </w:trPr>
        <w:tc>
          <w:tcPr>
            <w:tcW w:w="1288" w:type="dxa"/>
            <w:tcBorders/>
          </w:tcPr>
          <w:p>
            <w:pPr>
              <w:pStyle w:val="Standard"/>
              <w:keepLines/>
              <w:snapToGrid w:val="false"/>
              <w:jc w:val="both"/>
              <w:rPr>
                <w:rFonts w:ascii="Times New Roman" w:hAnsi="Times New Roman" w:cs="Times New Roman"/>
              </w:rPr>
            </w:pPr>
            <w:r>
              <w:rPr>
                <w:rFonts w:cs="Times New Roman" w:ascii="Times New Roman" w:hAnsi="Times New Roman"/>
              </w:rPr>
              <w:t>Anexo V</w:t>
            </w:r>
          </w:p>
        </w:tc>
        <w:tc>
          <w:tcPr>
            <w:tcW w:w="264" w:type="dxa"/>
            <w:tcBorders/>
          </w:tcPr>
          <w:p>
            <w:pPr>
              <w:pStyle w:val="Standard"/>
              <w:keepLines/>
              <w:snapToGrid w:val="false"/>
              <w:jc w:val="center"/>
              <w:rPr>
                <w:rFonts w:ascii="Times New Roman" w:hAnsi="Times New Roman" w:cs="Times New Roman"/>
              </w:rPr>
            </w:pPr>
            <w:r>
              <w:rPr>
                <w:rFonts w:cs="Times New Roman" w:ascii="Times New Roman" w:hAnsi="Times New Roman"/>
              </w:rPr>
              <w:t>-</w:t>
            </w:r>
          </w:p>
        </w:tc>
        <w:tc>
          <w:tcPr>
            <w:tcW w:w="7709" w:type="dxa"/>
            <w:tcBorders/>
          </w:tcPr>
          <w:p>
            <w:pPr>
              <w:pStyle w:val="Standard"/>
              <w:keepLines/>
              <w:snapToGrid w:val="false"/>
              <w:jc w:val="both"/>
              <w:rPr>
                <w:rFonts w:ascii="Times New Roman" w:hAnsi="Times New Roman" w:cs="Times New Roman"/>
              </w:rPr>
            </w:pPr>
            <w:r>
              <w:rPr>
                <w:rFonts w:cs="Times New Roman" w:ascii="Times New Roman" w:hAnsi="Times New Roman"/>
              </w:rPr>
              <w:t>Minuta de Termo de Contrato.</w:t>
            </w:r>
          </w:p>
        </w:tc>
      </w:tr>
      <w:tr>
        <w:trPr>
          <w:trHeight w:val="295" w:hRule="atLeast"/>
        </w:trPr>
        <w:tc>
          <w:tcPr>
            <w:tcW w:w="1288" w:type="dxa"/>
            <w:tcBorders/>
          </w:tcPr>
          <w:p>
            <w:pPr>
              <w:pStyle w:val="Standard"/>
              <w:keepLines/>
              <w:snapToGrid w:val="false"/>
              <w:jc w:val="both"/>
              <w:rPr>
                <w:rFonts w:ascii="Times New Roman" w:hAnsi="Times New Roman" w:cs="Times New Roman"/>
              </w:rPr>
            </w:pPr>
            <w:r>
              <w:rPr>
                <w:rFonts w:cs="Times New Roman" w:ascii="Times New Roman" w:hAnsi="Times New Roman"/>
              </w:rPr>
              <w:t>Anexo VI</w:t>
            </w:r>
          </w:p>
        </w:tc>
        <w:tc>
          <w:tcPr>
            <w:tcW w:w="264" w:type="dxa"/>
            <w:tcBorders/>
          </w:tcPr>
          <w:p>
            <w:pPr>
              <w:pStyle w:val="Standard"/>
              <w:keepLines/>
              <w:snapToGrid w:val="false"/>
              <w:jc w:val="center"/>
              <w:rPr>
                <w:rFonts w:ascii="Times New Roman" w:hAnsi="Times New Roman" w:cs="Times New Roman"/>
              </w:rPr>
            </w:pPr>
            <w:r>
              <w:rPr>
                <w:rFonts w:cs="Times New Roman" w:ascii="Times New Roman" w:hAnsi="Times New Roman"/>
              </w:rPr>
              <w:t>-</w:t>
            </w:r>
          </w:p>
        </w:tc>
        <w:tc>
          <w:tcPr>
            <w:tcW w:w="7709" w:type="dxa"/>
            <w:tcBorders/>
          </w:tcPr>
          <w:p>
            <w:pPr>
              <w:pStyle w:val="Standard"/>
              <w:keepLines/>
              <w:snapToGrid w:val="false"/>
              <w:jc w:val="both"/>
              <w:rPr>
                <w:rFonts w:ascii="Times New Roman" w:hAnsi="Times New Roman" w:cs="Times New Roman"/>
              </w:rPr>
            </w:pPr>
            <w:r>
              <w:rPr>
                <w:rFonts w:cs="Times New Roman" w:ascii="Times New Roman" w:hAnsi="Times New Roman"/>
              </w:rPr>
              <w:t>Modelo de Declaração de Proposta Comercial.</w:t>
            </w:r>
          </w:p>
        </w:tc>
      </w:tr>
    </w:tbl>
    <w:p>
      <w:pPr>
        <w:pStyle w:val="Standard"/>
        <w:keepLines/>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snapToGrid w:val="false"/>
        <w:jc w:val="both"/>
        <w:rPr>
          <w:rFonts w:ascii="Times New Roman" w:hAnsi="Times New Roman" w:eastAsia="Times New Roman" w:cs="Times New Roman"/>
          <w:shd w:fill="FFF200" w:val="clear"/>
          <w:lang w:bidi="ar-SA"/>
        </w:rPr>
      </w:pPr>
      <w:r>
        <w:rPr>
          <w:rFonts w:eastAsia="Times New Roman" w:cs="Times New Roman" w:ascii="Times New Roman" w:hAnsi="Times New Roman"/>
          <w:shd w:fill="FFF200" w:val="clear"/>
          <w:lang w:bidi="ar-SA"/>
        </w:rPr>
      </w:r>
    </w:p>
    <w:p>
      <w:pPr>
        <w:pStyle w:val="Standard"/>
        <w:keepLines/>
        <w:snapToGrid w:val="false"/>
        <w:jc w:val="both"/>
        <w:rPr/>
      </w:pPr>
      <w:r>
        <w:rPr>
          <w:rFonts w:cs="Times New Roman" w:ascii="Times New Roman" w:hAnsi="Times New Roman"/>
          <w:b/>
          <w:bCs/>
        </w:rPr>
        <w:t>12.18.</w:t>
      </w:r>
      <w:r>
        <w:rPr>
          <w:rFonts w:cs="Times New Roman" w:ascii="Times New Roman" w:hAnsi="Times New Roman"/>
        </w:rPr>
        <w:t xml:space="preserve"> Informações por telefone, somente no horário de atendimento externo, ou seja, das 10h às 16h, de segunda a sexta-feira, em dias úteis ou pela Internet, pelo site www.caxias.rs.gov.br, em Central de Licitações, no link Consulta de Licitações.</w:t>
      </w:r>
    </w:p>
    <w:p>
      <w:pPr>
        <w:pStyle w:val="Standard"/>
        <w:jc w:val="center"/>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jc w:val="center"/>
        <w:rPr>
          <w:rFonts w:ascii="Times New Roman" w:hAnsi="Times New Roman" w:eastAsia="Times New Roman" w:cs="Times New Roman"/>
          <w:lang w:bidi="ar-SA"/>
        </w:rPr>
      </w:pPr>
      <w:r>
        <w:rPr>
          <w:rFonts w:eastAsia="Times New Roman" w:cs="Times New Roman" w:ascii="Times New Roman" w:hAnsi="Times New Roman"/>
          <w:lang w:bidi="ar-SA"/>
        </w:rPr>
      </w:r>
    </w:p>
    <w:p>
      <w:pPr>
        <w:pStyle w:val="Standard"/>
        <w:jc w:val="center"/>
        <w:rPr/>
      </w:pPr>
      <w:r>
        <w:rPr>
          <w:rFonts w:eastAsia="Times New Roman" w:cs="Times New Roman" w:ascii="Times New Roman" w:hAnsi="Times New Roman"/>
          <w:lang w:bidi="ar-SA"/>
        </w:rPr>
        <w:t xml:space="preserve">Caxias do Sul, 19 de março </w:t>
      </w:r>
      <w:bookmarkStart w:id="49" w:name="_GoBack"/>
      <w:bookmarkEnd w:id="49"/>
      <w:r>
        <w:rPr>
          <w:rFonts w:eastAsia="Times New Roman" w:cs="Times New Roman" w:ascii="Times New Roman" w:hAnsi="Times New Roman"/>
          <w:lang w:bidi="ar-SA"/>
        </w:rPr>
        <w:t>de 2026.</w:t>
      </w:r>
    </w:p>
    <w:p>
      <w:pPr>
        <w:pStyle w:val="Standard"/>
        <w:keepLines/>
        <w:jc w:val="center"/>
        <w:rPr>
          <w:rFonts w:ascii="Times New Roman" w:hAnsi="Times New Roman" w:cs="Times New Roman"/>
          <w:b/>
        </w:rPr>
      </w:pPr>
      <w:r>
        <w:rPr>
          <w:rFonts w:cs="Times New Roman" w:ascii="Times New Roman" w:hAnsi="Times New Roman"/>
          <w:b/>
        </w:rPr>
      </w:r>
    </w:p>
    <w:p>
      <w:pPr>
        <w:pStyle w:val="Standard"/>
        <w:jc w:val="center"/>
        <w:rPr>
          <w:rFonts w:ascii="Times New Roman" w:hAnsi="Times New Roman" w:cs="Times New Roman"/>
          <w:b/>
        </w:rPr>
      </w:pPr>
      <w:r>
        <w:rPr>
          <w:rFonts w:cs="Times New Roman" w:ascii="Times New Roman" w:hAnsi="Times New Roman"/>
          <w:b/>
        </w:rPr>
      </w:r>
    </w:p>
    <w:p>
      <w:pPr>
        <w:pStyle w:val="Standard"/>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pPr>
      <w:r>
        <w:rPr>
          <w:rFonts w:cs="Times New Roman" w:ascii="Times New Roman" w:hAnsi="Times New Roman"/>
          <w:i/>
          <w:iCs/>
          <w:color w:val="000000"/>
        </w:rPr>
        <w:t>RONALDO BONIATTI</w:t>
      </w:r>
    </w:p>
    <w:p>
      <w:pPr>
        <w:pStyle w:val="Standard"/>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rPr/>
      </w:pPr>
      <w:r>
        <w:rPr>
          <w:rFonts w:cs="Times New Roman" w:ascii="Times New Roman" w:hAnsi="Times New Roman"/>
          <w:i/>
          <w:iCs/>
          <w:color w:val="000000"/>
        </w:rPr>
        <w:t>Secretário Municipal do Meio Ambiente e Sustentabilidade</w:t>
      </w:r>
    </w:p>
    <w:sectPr>
      <w:headerReference w:type="even" r:id="rId6"/>
      <w:headerReference w:type="default" r:id="rId7"/>
      <w:headerReference w:type="first" r:id="rId8"/>
      <w:footerReference w:type="even" r:id="rId9"/>
      <w:footerReference w:type="default" r:id="rId10"/>
      <w:footerReference w:type="first" r:id="rId11"/>
      <w:type w:val="nextPage"/>
      <w:pgSz w:w="11906" w:h="16838"/>
      <w:pgMar w:left="1134" w:right="1134" w:gutter="0" w:header="720" w:top="1134" w:footer="72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egoe UI">
    <w:charset w:val="00"/>
    <w:family w:val="swiss"/>
    <w:pitch w:val="variable"/>
  </w:font>
  <w:font w:name="Liberation Sans">
    <w:altName w:val="Arial"/>
    <w:charset w:val="00"/>
    <w:family w:val="swiss"/>
    <w:pitch w:val="variable"/>
  </w:font>
  <w:font w:name="Verdana">
    <w:charset w:val="00"/>
    <w:family w:val="swiss"/>
    <w:pitch w:val="variable"/>
  </w:font>
  <w:font w:name="Calibri">
    <w:charset w:val="00"/>
    <w:family w:val="roman"/>
    <w:pitch w:val="variable"/>
  </w:font>
  <w:font w:name="Forte">
    <w:charset w:val="00"/>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38" w:type="dxa"/>
      <w:jc w:val="left"/>
      <w:tblInd w:w="0" w:type="dxa"/>
      <w:tblLayout w:type="fixed"/>
      <w:tblCellMar>
        <w:top w:w="55" w:type="dxa"/>
        <w:left w:w="55" w:type="dxa"/>
        <w:bottom w:w="55" w:type="dxa"/>
        <w:right w:w="55" w:type="dxa"/>
      </w:tblCellMar>
      <w:tblLook w:firstRow="0" w:noVBand="0" w:lastRow="0" w:firstColumn="0" w:lastColumn="0" w:noHBand="0" w:val="0000"/>
    </w:tblPr>
    <w:tblGrid>
      <w:gridCol w:w="9638"/>
    </w:tblGrid>
    <w:tr>
      <w:trPr>
        <w:trHeight w:val="341" w:hRule="atLeast"/>
      </w:trPr>
      <w:tc>
        <w:tcPr>
          <w:tcW w:w="9638" w:type="dxa"/>
          <w:tcBorders/>
        </w:tcPr>
        <w:p>
          <w:pPr>
            <w:pStyle w:val="Footer"/>
            <w:jc w:val="center"/>
            <w:rPr/>
          </w:pPr>
          <w:r>
            <w:rPr>
              <w:rFonts w:ascii="Arial" w:hAnsi="Arial"/>
              <w:color w:val="000000"/>
              <w:sz w:val="16"/>
              <w:vertAlign w:val="superscript"/>
            </w:rPr>
            <w:t>CC</w:t>
          </w:r>
          <w:r>
            <w:rPr>
              <w:rFonts w:ascii="Arial" w:hAnsi="Arial"/>
              <w:color w:val="000000"/>
              <w:sz w:val="16"/>
              <w:vertAlign w:val="superscript"/>
            </w:rPr>
            <w:t>84</w:t>
          </w:r>
          <w:r>
            <w:rPr>
              <w:rFonts w:ascii="Arial" w:hAnsi="Arial"/>
              <w:color w:val="000000"/>
              <w:sz w:val="16"/>
              <w:vertAlign w:val="superscript"/>
            </w:rPr>
            <w:t>2</w:t>
          </w:r>
          <w:r>
            <w:rPr>
              <w:rFonts w:ascii="Arial" w:hAnsi="Arial"/>
              <w:color w:val="000000"/>
              <w:sz w:val="16"/>
              <w:vertAlign w:val="superscript"/>
            </w:rPr>
            <w:t>6</w:t>
          </w:r>
          <w:r>
            <w:rPr>
              <w:rFonts w:ascii="Arial" w:hAnsi="Arial"/>
              <w:color w:val="000000"/>
              <w:sz w:val="16"/>
              <w:vertAlign w:val="superscript"/>
            </w:rPr>
            <w:t xml:space="preserve"> </w:t>
          </w:r>
          <w:r>
            <w:rPr>
              <w:rFonts w:ascii="Arial" w:hAnsi="Arial"/>
              <w:sz w:val="16"/>
              <w:vertAlign w:val="superscript"/>
            </w:rPr>
            <w:t xml:space="preserve">     Rua Alfredo Chaves, n.º 1.333 - Bairro Exposição - CEP: 95.020-460 - Caxias do Sul (RS)                 </w:t>
          </w:r>
        </w:p>
      </w:tc>
    </w:tr>
    <w:tr>
      <w:trPr/>
      <w:tc>
        <w:tcPr>
          <w:tcW w:w="9638" w:type="dxa"/>
          <w:tcBorders/>
        </w:tcPr>
        <w:p>
          <w:pPr>
            <w:pStyle w:val="Footer"/>
            <w:jc w:val="center"/>
            <w:rPr>
              <w:rFonts w:ascii="Arial" w:hAnsi="Arial"/>
              <w:sz w:val="16"/>
              <w:vertAlign w:val="superscript"/>
            </w:rPr>
          </w:pPr>
          <w:r>
            <w:rPr>
              <w:rFonts w:ascii="Arial" w:hAnsi="Arial"/>
              <w:sz w:val="16"/>
              <w:vertAlign w:val="superscript"/>
            </w:rPr>
            <w:t>Fone: (54) 3218.6000 – Ramais 8820 e 8821</w:t>
          </w:r>
        </w:p>
      </w:tc>
    </w:tr>
  </w:tbl>
  <w:p>
    <w:pPr>
      <w:pStyle w:val="Standard"/>
      <w:jc w:val="right"/>
      <w:rPr/>
    </w:pPr>
    <w:r>
      <w:rPr/>
      <w:fldChar w:fldCharType="begin"/>
    </w:r>
    <w:r>
      <w:rPr/>
      <w:instrText xml:space="preserve"> PAGE </w:instrText>
    </w:r>
    <w:r>
      <w:rPr/>
      <w:fldChar w:fldCharType="separate"/>
    </w:r>
    <w:r>
      <w:rPr/>
      <w:t>14</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38" w:type="dxa"/>
      <w:jc w:val="left"/>
      <w:tblInd w:w="0" w:type="dxa"/>
      <w:tblLayout w:type="fixed"/>
      <w:tblCellMar>
        <w:top w:w="55" w:type="dxa"/>
        <w:left w:w="55" w:type="dxa"/>
        <w:bottom w:w="55" w:type="dxa"/>
        <w:right w:w="55" w:type="dxa"/>
      </w:tblCellMar>
      <w:tblLook w:firstRow="0" w:noVBand="0" w:lastRow="0" w:firstColumn="0" w:lastColumn="0" w:noHBand="0" w:val="0000"/>
    </w:tblPr>
    <w:tblGrid>
      <w:gridCol w:w="9638"/>
    </w:tblGrid>
    <w:tr>
      <w:trPr>
        <w:trHeight w:val="341" w:hRule="atLeast"/>
      </w:trPr>
      <w:tc>
        <w:tcPr>
          <w:tcW w:w="9638" w:type="dxa"/>
          <w:tcBorders/>
        </w:tcPr>
        <w:p>
          <w:pPr>
            <w:pStyle w:val="Footer"/>
            <w:jc w:val="center"/>
            <w:rPr/>
          </w:pPr>
          <w:r>
            <w:rPr>
              <w:rFonts w:ascii="Arial" w:hAnsi="Arial"/>
              <w:color w:val="000000"/>
              <w:sz w:val="16"/>
              <w:vertAlign w:val="superscript"/>
            </w:rPr>
            <w:t>CC</w:t>
          </w:r>
          <w:r>
            <w:rPr>
              <w:rFonts w:ascii="Arial" w:hAnsi="Arial"/>
              <w:color w:val="000000"/>
              <w:sz w:val="16"/>
              <w:vertAlign w:val="superscript"/>
            </w:rPr>
            <w:t>84</w:t>
          </w:r>
          <w:r>
            <w:rPr>
              <w:rFonts w:ascii="Arial" w:hAnsi="Arial"/>
              <w:color w:val="000000"/>
              <w:sz w:val="16"/>
              <w:vertAlign w:val="superscript"/>
            </w:rPr>
            <w:t>2</w:t>
          </w:r>
          <w:r>
            <w:rPr>
              <w:rFonts w:ascii="Arial" w:hAnsi="Arial"/>
              <w:color w:val="000000"/>
              <w:sz w:val="16"/>
              <w:vertAlign w:val="superscript"/>
            </w:rPr>
            <w:t>6</w:t>
          </w:r>
          <w:r>
            <w:rPr>
              <w:rFonts w:ascii="Arial" w:hAnsi="Arial"/>
              <w:color w:val="000000"/>
              <w:sz w:val="16"/>
              <w:vertAlign w:val="superscript"/>
            </w:rPr>
            <w:t xml:space="preserve"> </w:t>
          </w:r>
          <w:r>
            <w:rPr>
              <w:rFonts w:ascii="Arial" w:hAnsi="Arial"/>
              <w:sz w:val="16"/>
              <w:vertAlign w:val="superscript"/>
            </w:rPr>
            <w:t xml:space="preserve">     Rua Alfredo Chaves, n.º 1.333 - Bairro Exposição - CEP: 95.020-460 - Caxias do Sul (RS)                 </w:t>
          </w:r>
        </w:p>
      </w:tc>
    </w:tr>
    <w:tr>
      <w:trPr/>
      <w:tc>
        <w:tcPr>
          <w:tcW w:w="9638" w:type="dxa"/>
          <w:tcBorders/>
        </w:tcPr>
        <w:p>
          <w:pPr>
            <w:pStyle w:val="Footer"/>
            <w:jc w:val="center"/>
            <w:rPr>
              <w:rFonts w:ascii="Arial" w:hAnsi="Arial"/>
              <w:sz w:val="16"/>
              <w:vertAlign w:val="superscript"/>
            </w:rPr>
          </w:pPr>
          <w:r>
            <w:rPr>
              <w:rFonts w:ascii="Arial" w:hAnsi="Arial"/>
              <w:sz w:val="16"/>
              <w:vertAlign w:val="superscript"/>
            </w:rPr>
            <w:t>Fone: (54) 3218.6000 – Ramais 8820 e 8821</w:t>
          </w:r>
        </w:p>
      </w:tc>
    </w:tr>
  </w:tbl>
  <w:p>
    <w:pPr>
      <w:pStyle w:val="Standard"/>
      <w:jc w:val="right"/>
      <w:rPr/>
    </w:pPr>
    <w:r>
      <w:rPr/>
      <w:fldChar w:fldCharType="begin"/>
    </w:r>
    <w:r>
      <w:rPr/>
      <w:instrText xml:space="preserve"> PAGE </w:instrText>
    </w:r>
    <w:r>
      <w:rPr/>
      <w:fldChar w:fldCharType="separate"/>
    </w:r>
    <w:r>
      <w:rPr/>
      <w:t>14</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drawing>
        <wp:anchor behindDoc="1" distT="0" distB="0" distL="0" distR="0" simplePos="0" locked="0" layoutInCell="1" allowOverlap="1" relativeHeight="15">
          <wp:simplePos x="0" y="0"/>
          <wp:positionH relativeFrom="column">
            <wp:posOffset>47625</wp:posOffset>
          </wp:positionH>
          <wp:positionV relativeFrom="paragraph">
            <wp:posOffset>-86995</wp:posOffset>
          </wp:positionV>
          <wp:extent cx="627380" cy="54356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27380" cy="543560"/>
                  </a:xfrm>
                  <a:prstGeom prst="rect">
                    <a:avLst/>
                  </a:prstGeom>
                  <a:noFill/>
                </pic:spPr>
              </pic:pic>
            </a:graphicData>
          </a:graphic>
        </wp:anchor>
      </w:drawing>
    </w:r>
    <w:r>
      <w:rPr>
        <w:rFonts w:ascii="Arial" w:hAnsi="Arial"/>
        <w:b/>
        <w:sz w:val="20"/>
        <w:szCs w:val="20"/>
      </w:rPr>
      <w:t>MUNICÍPIO DE CAXIAS DO SUL</w:t>
    </w:r>
  </w:p>
  <w:p>
    <w:pPr>
      <w:pStyle w:val="Header"/>
      <w:jc w:val="center"/>
      <w:rPr>
        <w:rFonts w:ascii="Arial" w:hAnsi="Arial"/>
        <w:b/>
        <w:bCs/>
        <w:sz w:val="16"/>
        <w:szCs w:val="16"/>
      </w:rPr>
    </w:pPr>
    <w:r>
      <w:rPr>
        <w:rFonts w:ascii="Arial" w:hAnsi="Arial"/>
        <w:b/>
        <w:bCs/>
        <w:sz w:val="16"/>
        <w:szCs w:val="16"/>
      </w:rPr>
      <w:t>SECRETARIA DE RECURSOS HUMANOS E LOGÍSTICA</w:t>
    </w:r>
  </w:p>
  <w:p>
    <w:pPr>
      <w:pStyle w:val="Standard"/>
      <w:numPr>
        <w:ilvl w:val="0"/>
        <w:numId w:val="13"/>
      </w:numPr>
      <w:jc w:val="center"/>
      <w:rPr>
        <w:rFonts w:ascii="Arial" w:hAnsi="Arial" w:eastAsia="Arial"/>
        <w:b/>
        <w:bCs/>
        <w:sz w:val="16"/>
        <w:szCs w:val="16"/>
      </w:rPr>
    </w:pPr>
    <w:r>
      <w:rPr>
        <w:rFonts w:eastAsia="Arial" w:ascii="Arial" w:hAnsi="Arial"/>
        <w:b/>
        <w:bCs/>
        <w:sz w:val="16"/>
        <w:szCs w:val="16"/>
      </w:rPr>
      <w:t>DIRETORIA FINANCEIRA, DE COMPRAS E DE LICITAÇÕES</w:t>
    </w:r>
  </w:p>
  <w:p>
    <w:pPr>
      <w:pStyle w:val="Standard"/>
      <w:numPr>
        <w:ilvl w:val="0"/>
        <w:numId w:val="14"/>
      </w:numPr>
      <w:jc w:val="center"/>
      <w:rPr>
        <w:rFonts w:ascii="Arial" w:hAnsi="Arial" w:eastAsia="Arial"/>
        <w:b/>
        <w:bCs/>
        <w:sz w:val="16"/>
        <w:szCs w:val="16"/>
      </w:rPr>
    </w:pPr>
    <w:r>
      <w:rPr>
        <w:rFonts w:eastAsia="Arial" w:ascii="Arial" w:hAnsi="Arial"/>
        <w:b/>
        <w:bCs/>
        <w:sz w:val="16"/>
        <w:szCs w:val="16"/>
      </w:rPr>
      <w:t>CENTRAL DE LICITAÇÕES – CENLIC</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drawing>
        <wp:anchor behindDoc="1" distT="0" distB="0" distL="0" distR="0" simplePos="0" locked="0" layoutInCell="1" allowOverlap="1" relativeHeight="15">
          <wp:simplePos x="0" y="0"/>
          <wp:positionH relativeFrom="column">
            <wp:posOffset>47625</wp:posOffset>
          </wp:positionH>
          <wp:positionV relativeFrom="paragraph">
            <wp:posOffset>-86995</wp:posOffset>
          </wp:positionV>
          <wp:extent cx="627380" cy="543560"/>
          <wp:effectExtent l="0" t="0" r="0" b="0"/>
          <wp:wrapNone/>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tretch>
                    <a:fillRect/>
                  </a:stretch>
                </pic:blipFill>
                <pic:spPr bwMode="auto">
                  <a:xfrm>
                    <a:off x="0" y="0"/>
                    <a:ext cx="627380" cy="543560"/>
                  </a:xfrm>
                  <a:prstGeom prst="rect">
                    <a:avLst/>
                  </a:prstGeom>
                  <a:noFill/>
                </pic:spPr>
              </pic:pic>
            </a:graphicData>
          </a:graphic>
        </wp:anchor>
      </w:drawing>
    </w:r>
    <w:r>
      <w:rPr>
        <w:rFonts w:ascii="Arial" w:hAnsi="Arial"/>
        <w:b/>
        <w:sz w:val="20"/>
        <w:szCs w:val="20"/>
      </w:rPr>
      <w:t>MUNICÍPIO DE CAXIAS DO SUL</w:t>
    </w:r>
  </w:p>
  <w:p>
    <w:pPr>
      <w:pStyle w:val="Header"/>
      <w:jc w:val="center"/>
      <w:rPr>
        <w:rFonts w:ascii="Arial" w:hAnsi="Arial"/>
        <w:b/>
        <w:bCs/>
        <w:sz w:val="16"/>
        <w:szCs w:val="16"/>
      </w:rPr>
    </w:pPr>
    <w:r>
      <w:rPr>
        <w:rFonts w:ascii="Arial" w:hAnsi="Arial"/>
        <w:b/>
        <w:bCs/>
        <w:sz w:val="16"/>
        <w:szCs w:val="16"/>
      </w:rPr>
      <w:t>SECRETARIA DE RECURSOS HUMANOS E LOGÍSTICA</w:t>
    </w:r>
  </w:p>
  <w:p>
    <w:pPr>
      <w:pStyle w:val="Standard"/>
      <w:numPr>
        <w:ilvl w:val="0"/>
        <w:numId w:val="15"/>
      </w:numPr>
      <w:jc w:val="center"/>
      <w:rPr>
        <w:rFonts w:ascii="Arial" w:hAnsi="Arial" w:eastAsia="Arial"/>
        <w:b/>
        <w:bCs/>
        <w:sz w:val="16"/>
        <w:szCs w:val="16"/>
      </w:rPr>
    </w:pPr>
    <w:r>
      <w:rPr>
        <w:rFonts w:eastAsia="Arial" w:ascii="Arial" w:hAnsi="Arial"/>
        <w:b/>
        <w:bCs/>
        <w:sz w:val="16"/>
        <w:szCs w:val="16"/>
      </w:rPr>
      <w:t>DIRETORIA FINANCEIRA, DE COMPRAS E DE LICITAÇÕES</w:t>
    </w:r>
  </w:p>
  <w:p>
    <w:pPr>
      <w:pStyle w:val="Standard"/>
      <w:numPr>
        <w:ilvl w:val="0"/>
        <w:numId w:val="16"/>
      </w:numPr>
      <w:jc w:val="center"/>
      <w:rPr>
        <w:rFonts w:ascii="Arial" w:hAnsi="Arial" w:eastAsia="Arial"/>
        <w:b/>
        <w:bCs/>
        <w:sz w:val="16"/>
        <w:szCs w:val="16"/>
      </w:rPr>
    </w:pPr>
    <w:r>
      <w:rPr>
        <w:rFonts w:eastAsia="Arial" w:ascii="Arial" w:hAnsi="Arial"/>
        <w:b/>
        <w:bCs/>
        <w:sz w:val="16"/>
        <w:szCs w:val="16"/>
      </w:rPr>
      <w:t>CENTRAL DE LICITAÇÕES – CENLIC</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432" w:hanging="432"/>
      </w:pPr>
      <w:rPr>
        <w:outline w:val="false"/>
        <w:dstrike w:val="false"/>
        <w:strike w:val="false"/>
        <w:sz w:val="24"/>
        <w:i w:val="false"/>
        <w:b/>
        <w:szCs w:val="22"/>
        <w:iCs w:val="false"/>
        <w:bCs/>
        <w:em w:val="none"/>
        <w:rFonts w:ascii="Times New Roman" w:hAnsi="Times New Roman" w:eastAsia="Arial" w:cs="Times New Roman"/>
        <w:color w:val="000000"/>
        <w:lang w:val="pt-BR"/>
      </w:rPr>
    </w:lvl>
    <w:lvl w:ilvl="1">
      <w:start w:val="1"/>
      <w:numFmt w:val="none"/>
      <w:suff w:val="nothing"/>
      <w:lvlText w:val="%2"/>
      <w:lvlJc w:val="left"/>
      <w:pPr>
        <w:tabs>
          <w:tab w:val="num" w:pos="0"/>
        </w:tabs>
        <w:ind w:left="576" w:hanging="576"/>
      </w:pPr>
      <w:rPr>
        <w:outline w:val="false"/>
        <w:dstrike w:val="false"/>
        <w:strike w:val="false"/>
        <w:i w:val="false"/>
        <w:b w:val="false"/>
        <w:iCs w:val="false"/>
        <w:bCs w:val="false"/>
        <w:em w:val="none"/>
        <w:rFonts w:cs="Arial"/>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2">
    <w:lvl w:ilvl="0">
      <w:start w:val="1"/>
      <w:numFmt w:val="none"/>
      <w:suff w:val="nothing"/>
      <w:lvlText w:val="%1"/>
      <w:lvlJc w:val="left"/>
      <w:pPr>
        <w:tabs>
          <w:tab w:val="num" w:pos="0"/>
        </w:tabs>
        <w:ind w:left="432" w:hanging="432"/>
      </w:pPr>
      <w:rPr>
        <w:outline w:val="false"/>
        <w:dstrike w:val="false"/>
        <w:strike w:val="false"/>
        <w:sz w:val="24"/>
        <w:i w:val="false"/>
        <w:b/>
        <w:szCs w:val="22"/>
        <w:iCs w:val="false"/>
        <w:bCs/>
        <w:em w:val="none"/>
        <w:rFonts w:ascii="Times New Roman" w:hAnsi="Times New Roman" w:eastAsia="Arial" w:cs="Times New Roman"/>
        <w:color w:val="000000"/>
        <w:lang w:val="pt-BR"/>
      </w:rPr>
    </w:lvl>
    <w:lvl w:ilvl="1">
      <w:start w:val="1"/>
      <w:numFmt w:val="none"/>
      <w:suff w:val="nothing"/>
      <w:lvlText w:val="%2"/>
      <w:lvlJc w:val="left"/>
      <w:pPr>
        <w:tabs>
          <w:tab w:val="num" w:pos="0"/>
        </w:tabs>
        <w:ind w:left="576" w:hanging="576"/>
      </w:pPr>
      <w:rPr>
        <w:outline w:val="false"/>
        <w:dstrike w:val="false"/>
        <w:strike w:val="false"/>
        <w:i w:val="false"/>
        <w:b w:val="false"/>
        <w:iCs w:val="false"/>
        <w:bCs w:val="false"/>
        <w:em w:val="none"/>
        <w:rFonts w:cs="Arial"/>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3">
    <w:lvl w:ilvl="0">
      <w:start w:val="1"/>
      <w:numFmt w:val="none"/>
      <w:suff w:val="nothing"/>
      <w:lvlText w:val="%1"/>
      <w:lvlJc w:val="left"/>
      <w:pPr>
        <w:tabs>
          <w:tab w:val="num" w:pos="0"/>
        </w:tabs>
        <w:ind w:left="432" w:hanging="432"/>
      </w:pPr>
      <w:rPr>
        <w:outline w:val="false"/>
        <w:dstrike w:val="false"/>
        <w:strike w:val="false"/>
        <w:sz w:val="24"/>
        <w:i w:val="false"/>
        <w:b/>
        <w:szCs w:val="22"/>
        <w:iCs w:val="false"/>
        <w:bCs/>
        <w:em w:val="none"/>
        <w:rFonts w:ascii="Times New Roman" w:hAnsi="Times New Roman" w:eastAsia="Arial" w:cs="Times New Roman"/>
        <w:color w:val="000000"/>
        <w:lang w:val="pt-BR"/>
      </w:rPr>
    </w:lvl>
    <w:lvl w:ilvl="1">
      <w:start w:val="1"/>
      <w:numFmt w:val="none"/>
      <w:suff w:val="nothing"/>
      <w:lvlText w:val="%2"/>
      <w:lvlJc w:val="left"/>
      <w:pPr>
        <w:tabs>
          <w:tab w:val="num" w:pos="0"/>
        </w:tabs>
        <w:ind w:left="576" w:hanging="576"/>
      </w:pPr>
      <w:rPr>
        <w:outline w:val="false"/>
        <w:dstrike w:val="false"/>
        <w:strike w:val="false"/>
        <w:i w:val="false"/>
        <w:b w:val="false"/>
        <w:iCs w:val="false"/>
        <w:bCs w:val="false"/>
        <w:em w:val="none"/>
        <w:rFonts w:cs="Arial"/>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3"/>
    <w:lvlOverride w:ilvl="0">
      <w:startOverride w:val="1"/>
    </w:lvlOverride>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lvlOverride w:ilvl="0">
      <w:startOverride w:val="1"/>
    </w:lvlOverride>
  </w:num>
  <w:num w:numId="14">
    <w:abstractNumId w:val="3"/>
  </w:num>
  <w:num w:numId="15">
    <w:abstractNumId w:val="3"/>
    <w:lvlOverride w:ilvl="0">
      <w:startOverride w:val="1"/>
    </w:lvlOverride>
  </w:num>
  <w:num w:numId="16">
    <w:abstractNumId w:val="3"/>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t-BR" w:eastAsia="zh-CN" w:bidi="hi-IN"/>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Liberation Serif" w:hAnsi="Liberation Serif" w:eastAsia="NSimSun" w:cs="Arial"/>
      <w:color w:val="auto"/>
      <w:kern w:val="2"/>
      <w:sz w:val="24"/>
      <w:szCs w:val="24"/>
      <w:lang w:val="pt-BR" w:eastAsia="zh-CN" w:bidi="hi-IN"/>
    </w:rPr>
  </w:style>
  <w:style w:type="paragraph" w:styleId="Heading1">
    <w:name w:val="heading 1"/>
    <w:basedOn w:val="Standard"/>
    <w:next w:val="Standard"/>
    <w:uiPriority w:val="9"/>
    <w:qFormat/>
    <w:pPr>
      <w:keepNext w:val="true"/>
      <w:tabs>
        <w:tab w:val="clear" w:pos="709"/>
        <w:tab w:val="left" w:pos="-144" w:leader="none"/>
        <w:tab w:val="left" w:pos="576" w:leader="none"/>
        <w:tab w:val="left" w:pos="1296" w:leader="none"/>
        <w:tab w:val="left" w:pos="2016" w:leader="none"/>
        <w:tab w:val="left" w:pos="2736" w:leader="none"/>
        <w:tab w:val="left" w:pos="3456" w:leader="none"/>
        <w:tab w:val="left" w:pos="4176" w:leader="none"/>
        <w:tab w:val="left" w:pos="4896" w:leader="none"/>
        <w:tab w:val="left" w:pos="5616" w:leader="none"/>
        <w:tab w:val="left" w:pos="6336" w:leader="none"/>
      </w:tabs>
      <w:jc w:val="both"/>
      <w:outlineLvl w:val="0"/>
    </w:pPr>
    <w:rPr>
      <w:b/>
      <w:sz w:val="22"/>
    </w:rPr>
  </w:style>
  <w:style w:type="paragraph" w:styleId="Heading2">
    <w:name w:val="heading 2"/>
    <w:basedOn w:val="Standard"/>
    <w:next w:val="Standard"/>
    <w:uiPriority w:val="9"/>
    <w:semiHidden/>
    <w:unhideWhenUsed/>
    <w:qFormat/>
    <w:pPr>
      <w:keepNext w:val="true"/>
      <w:spacing w:before="240" w:after="60"/>
      <w:outlineLvl w:val="1"/>
    </w:pPr>
    <w:rPr>
      <w:b/>
      <w:i/>
    </w:rPr>
  </w:style>
  <w:style w:type="paragraph" w:styleId="Heading3">
    <w:name w:val="heading 3"/>
    <w:basedOn w:val="Standard"/>
    <w:next w:val="Standard"/>
    <w:uiPriority w:val="9"/>
    <w:semiHidden/>
    <w:unhideWhenUsed/>
    <w:qFormat/>
    <w:pPr>
      <w:keepNext w:val="true"/>
      <w:spacing w:before="240" w:after="60"/>
      <w:outlineLvl w:val="2"/>
    </w:pPr>
    <w:rPr>
      <w:b/>
    </w:rPr>
  </w:style>
  <w:style w:type="paragraph" w:styleId="Heading8">
    <w:name w:val="heading 8"/>
    <w:basedOn w:val="Standard"/>
    <w:next w:val="Standard"/>
    <w:qFormat/>
    <w:pPr>
      <w:keepNext w:val="true"/>
      <w:tabs>
        <w:tab w:val="clear" w:pos="709"/>
        <w:tab w:val="left" w:pos="0" w:leader="none"/>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center"/>
      <w:outlineLvl w:val="7"/>
    </w:pPr>
    <w:rPr>
      <w:b/>
      <w:sz w:val="28"/>
    </w:rPr>
  </w:style>
  <w:style w:type="paragraph" w:styleId="Heading9">
    <w:name w:val="heading 9"/>
    <w:basedOn w:val="Standard"/>
    <w:next w:val="Standard"/>
    <w:qFormat/>
    <w:pPr>
      <w:keepNext w:val="true"/>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outlineLvl w:val="8"/>
    </w:pPr>
    <w:rPr>
      <w:b/>
    </w:rPr>
  </w:style>
  <w:style w:type="character" w:styleId="DefaultParagraphFont" w:default="1">
    <w:name w:val="Default Paragraph Font"/>
    <w:uiPriority w:val="1"/>
    <w:semiHidden/>
    <w:unhideWhenUsed/>
    <w:qFormat/>
    <w:rPr/>
  </w:style>
  <w:style w:type="character" w:styleId="WW8Num2z0" w:customStyle="1">
    <w:name w:val="WW8Num2z0"/>
    <w:qFormat/>
    <w:rPr>
      <w:rFonts w:ascii="Times New Roman" w:hAnsi="Times New Roman" w:eastAsia="Arial" w:cs="Times New Roman"/>
      <w:b/>
      <w:bCs/>
      <w:i w:val="false"/>
      <w:iCs w:val="false"/>
      <w:strike w:val="false"/>
      <w:dstrike w:val="false"/>
      <w:outline w:val="false"/>
      <w:color w:val="000000"/>
      <w:sz w:val="24"/>
      <w:szCs w:val="22"/>
      <w:em w:val="none"/>
      <w:lang w:val="pt-BR"/>
    </w:rPr>
  </w:style>
  <w:style w:type="character" w:styleId="WW8Num2z1" w:customStyle="1">
    <w:name w:val="WW8Num2z1"/>
    <w:qFormat/>
    <w:rPr>
      <w:rFonts w:cs="Arial"/>
      <w:b w:val="false"/>
      <w:bCs w:val="false"/>
      <w:i w:val="false"/>
      <w:iCs w:val="false"/>
      <w:strike w:val="false"/>
      <w:dstrike w:val="false"/>
      <w:outline w:val="false"/>
      <w:em w:val="none"/>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Internetlink" w:customStyle="1">
    <w:name w:val="Internet link"/>
    <w:qFormat/>
    <w:rPr>
      <w:color w:val="000080"/>
      <w:u w:val="single"/>
    </w:rPr>
  </w:style>
  <w:style w:type="character" w:styleId="VisitedInternetLink" w:customStyle="1">
    <w:name w:val="Visited Internet Link"/>
    <w:basedOn w:val="DefaultParagraphFont"/>
    <w:qFormat/>
    <w:rPr>
      <w:color w:val="800000"/>
      <w:sz w:val="24"/>
      <w:u w:val="single"/>
    </w:rPr>
  </w:style>
  <w:style w:type="character" w:styleId="Vnculodendice" w:customStyle="1">
    <w:name w:val="Vínculo de índice"/>
    <w:qFormat/>
    <w:rPr/>
  </w:style>
  <w:style w:type="character" w:styleId="Smbolosdenumerao" w:customStyle="1">
    <w:name w:val="Símbolos de numeração"/>
    <w:basedOn w:val="DefaultParagraphFont"/>
    <w:qFormat/>
    <w:rPr>
      <w:rFonts w:ascii="Arial" w:hAnsi="Arial" w:eastAsia="Arial" w:cs="Arial"/>
      <w:b/>
      <w:bCs/>
      <w:color w:val="auto"/>
      <w:sz w:val="22"/>
      <w:szCs w:val="22"/>
      <w:lang w:val="en-US"/>
    </w:rPr>
  </w:style>
  <w:style w:type="character" w:styleId="StrongEmphasis" w:customStyle="1">
    <w:name w:val="Strong Emphasis"/>
    <w:qFormat/>
    <w:rPr>
      <w:b/>
      <w:bCs/>
    </w:rPr>
  </w:style>
  <w:style w:type="character" w:styleId="Emphasis">
    <w:name w:val="Emphasis"/>
    <w:basedOn w:val="DefaultParagraphFont"/>
    <w:qFormat/>
    <w:rPr>
      <w:i/>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cs="Mangal"/>
      <w:sz w:val="20"/>
      <w:szCs w:val="18"/>
    </w:rPr>
  </w:style>
  <w:style w:type="character" w:styleId="AssuntodocomentrioChar" w:customStyle="1">
    <w:name w:val="Assunto do comentário Char"/>
    <w:basedOn w:val="TextodecomentrioChar"/>
    <w:qFormat/>
    <w:rPr>
      <w:rFonts w:cs="Mangal"/>
      <w:b/>
      <w:bCs/>
      <w:sz w:val="20"/>
      <w:szCs w:val="18"/>
    </w:rPr>
  </w:style>
  <w:style w:type="character" w:styleId="TextodebaloChar" w:customStyle="1">
    <w:name w:val="Texto de balão Char"/>
    <w:basedOn w:val="DefaultParagraphFont"/>
    <w:qFormat/>
    <w:rPr>
      <w:rFonts w:ascii="Segoe UI" w:hAnsi="Segoe UI" w:eastAsia="Segoe UI" w:cs="Mangal"/>
      <w:sz w:val="18"/>
      <w:szCs w:val="16"/>
    </w:rPr>
  </w:style>
  <w:style w:type="character" w:styleId="Corpodetexto3Char" w:customStyle="1">
    <w:name w:val="Corpo de texto 3 Char"/>
    <w:basedOn w:val="DefaultParagraphFont"/>
    <w:qFormat/>
    <w:rPr>
      <w:sz w:val="22"/>
    </w:rPr>
  </w:style>
  <w:style w:type="character" w:styleId="Ttulo1Char" w:customStyle="1">
    <w:name w:val="Título 1 Char"/>
    <w:basedOn w:val="DefaultParagraphFont"/>
    <w:qFormat/>
    <w:rPr>
      <w:b/>
      <w:sz w:val="22"/>
    </w:rPr>
  </w:style>
  <w:style w:type="paragraph" w:styleId="Ttulo" w:customStyle="1">
    <w:name w:val="Título"/>
    <w:basedOn w:val="Standard"/>
    <w:next w:val="Textbody"/>
    <w:qFormat/>
    <w:pPr>
      <w:keepNext w:val="true"/>
      <w:spacing w:before="240" w:after="120"/>
    </w:pPr>
    <w:rPr>
      <w:rFonts w:ascii="Liberation Sans" w:hAnsi="Liberation Sans" w:eastAsia="Microsoft YaHei" w:cs="Liberation Sans"/>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Standard"/>
    <w:qFormat/>
    <w:pPr>
      <w:suppressLineNumbers/>
      <w:spacing w:before="120" w:after="120"/>
    </w:pPr>
    <w:rPr>
      <w:i/>
      <w:iCs/>
    </w:rPr>
  </w:style>
  <w:style w:type="paragraph" w:styleId="ndice" w:customStyle="1">
    <w:name w:val="Índice"/>
    <w:basedOn w:val="Standard"/>
    <w:qFormat/>
    <w:pPr>
      <w:suppressLineNumbers/>
    </w:pPr>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NSimSun" w:cs="Arial"/>
      <w:color w:val="auto"/>
      <w:kern w:val="2"/>
      <w:sz w:val="24"/>
      <w:szCs w:val="24"/>
      <w:lang w:val="pt-BR" w:eastAsia="zh-CN" w:bidi="hi-IN"/>
    </w:rPr>
  </w:style>
  <w:style w:type="paragraph" w:styleId="Textbody" w:customStyle="1">
    <w:name w:val="Text body"/>
    <w:basedOn w:val="Standard"/>
    <w:qFormat/>
    <w:pPr>
      <w:spacing w:lineRule="auto" w:line="276" w:before="0" w:after="140"/>
    </w:pPr>
    <w:rPr/>
  </w:style>
  <w:style w:type="paragraph" w:styleId="Cabealhoerodap" w:customStyle="1">
    <w:name w:val="Cabeçalho e rodapé"/>
    <w:basedOn w:val="Standard"/>
    <w:qFormat/>
    <w:pPr>
      <w:suppressLineNumbers/>
      <w:tabs>
        <w:tab w:val="clear" w:pos="709"/>
        <w:tab w:val="center" w:pos="4819" w:leader="none"/>
        <w:tab w:val="right" w:pos="9638" w:leader="none"/>
      </w:tabs>
    </w:pPr>
    <w:rPr/>
  </w:style>
  <w:style w:type="paragraph" w:styleId="Header">
    <w:name w:val="header"/>
    <w:basedOn w:val="Cabealhoerodap"/>
    <w:pPr/>
    <w:rPr/>
  </w:style>
  <w:style w:type="paragraph" w:styleId="Footer">
    <w:name w:val="footer"/>
    <w:basedOn w:val="Cabealhoerodap"/>
    <w:pPr/>
    <w:rPr/>
  </w:style>
  <w:style w:type="paragraph" w:styleId="Textbodyindent" w:customStyle="1">
    <w:name w:val="Text body indent"/>
    <w:basedOn w:val="Standard"/>
    <w:qFormat/>
    <w:pPr>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pPr>
    <w:rPr>
      <w:rFonts w:ascii="Arial" w:hAnsi="Arial" w:eastAsia="Arial"/>
      <w:b/>
      <w:sz w:val="22"/>
    </w:rPr>
  </w:style>
  <w:style w:type="paragraph" w:styleId="Contedodatabela" w:customStyle="1">
    <w:name w:val="Conteúdo da tabela"/>
    <w:basedOn w:val="Standard"/>
    <w:qFormat/>
    <w:pPr>
      <w:widowControl w:val="false"/>
      <w:suppressLineNumbers/>
    </w:pPr>
    <w:rPr/>
  </w:style>
  <w:style w:type="paragraph" w:styleId="Contents1" w:customStyle="1">
    <w:name w:val="Contents 1"/>
    <w:basedOn w:val="ndice"/>
    <w:qFormat/>
    <w:pPr>
      <w:tabs>
        <w:tab w:val="clear" w:pos="709"/>
        <w:tab w:val="right" w:pos="8503" w:leader="dot"/>
      </w:tabs>
      <w:spacing w:lineRule="auto" w:line="360"/>
      <w:jc w:val="both"/>
    </w:pPr>
    <w:rPr>
      <w:rFonts w:ascii="Arial" w:hAnsi="Arial" w:eastAsia="Arial"/>
    </w:rPr>
  </w:style>
  <w:style w:type="paragraph" w:styleId="Title">
    <w:name w:val="Title"/>
    <w:basedOn w:val="Standard"/>
    <w:next w:val="Textbody"/>
    <w:uiPriority w:val="10"/>
    <w:qFormat/>
    <w:pPr>
      <w:keepNext w:val="true"/>
      <w:spacing w:before="240" w:after="120"/>
    </w:pPr>
    <w:rPr>
      <w:rFonts w:ascii="Arial" w:hAnsi="Arial" w:eastAsia="Lucida Sans Unicode" w:cs="Tahoma"/>
      <w:sz w:val="28"/>
      <w:szCs w:val="28"/>
    </w:rPr>
  </w:style>
  <w:style w:type="paragraph" w:styleId="IndexHeading">
    <w:name w:val="index heading"/>
    <w:basedOn w:val="Ttulo"/>
    <w:pPr>
      <w:suppressLineNumbers/>
    </w:pPr>
    <w:rPr>
      <w:b/>
      <w:bCs/>
      <w:sz w:val="32"/>
      <w:szCs w:val="32"/>
    </w:rPr>
  </w:style>
  <w:style w:type="paragraph" w:styleId="ContentsHeading" w:customStyle="1">
    <w:name w:val="Contents Heading"/>
    <w:basedOn w:val="Title"/>
    <w:next w:val="Heading1"/>
    <w:qFormat/>
    <w:pPr>
      <w:suppressLineNumbers/>
      <w:spacing w:before="238" w:after="283"/>
      <w:jc w:val="center"/>
    </w:pPr>
    <w:rPr>
      <w:b/>
      <w:sz w:val="32"/>
      <w:lang w:val="en-US"/>
    </w:rPr>
  </w:style>
  <w:style w:type="paragraph" w:styleId="BodyText3">
    <w:name w:val="Body Text 3"/>
    <w:basedOn w:val="Standard"/>
    <w:qFormat/>
    <w:pPr>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pPr>
    <w:rPr>
      <w:sz w:val="22"/>
    </w:rPr>
  </w:style>
  <w:style w:type="paragraph" w:styleId="WW-Corpodetexto31" w:customStyle="1">
    <w:name w:val="WW-Corpo de texto 31"/>
    <w:basedOn w:val="Standard"/>
    <w:qFormat/>
    <w:pPr>
      <w:tabs>
        <w:tab w:val="clear" w:pos="709"/>
        <w:tab w:val="left" w:pos="288" w:leader="none"/>
        <w:tab w:val="left" w:pos="10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jc w:val="both"/>
    </w:pPr>
    <w:rPr>
      <w:sz w:val="22"/>
    </w:rPr>
  </w:style>
  <w:style w:type="paragraph" w:styleId="Nivel2" w:customStyle="1">
    <w:name w:val="Nivel 2"/>
    <w:basedOn w:val="Standard"/>
    <w:qFormat/>
    <w:pPr>
      <w:spacing w:lineRule="auto" w:line="276" w:before="120" w:after="120"/>
      <w:jc w:val="both"/>
    </w:pPr>
    <w:rPr>
      <w:rFonts w:ascii="Arial" w:hAnsi="Arial" w:eastAsia="Arial"/>
      <w:color w:val="000000"/>
      <w:sz w:val="20"/>
      <w:szCs w:val="20"/>
    </w:rPr>
  </w:style>
  <w:style w:type="paragraph" w:styleId="ListParagraph">
    <w:name w:val="List Paragraph"/>
    <w:basedOn w:val="Standard"/>
    <w:qFormat/>
    <w:pPr/>
    <w:rPr/>
  </w:style>
  <w:style w:type="paragraph" w:styleId="p5" w:customStyle="1">
    <w:name w:val="p5"/>
    <w:basedOn w:val="Standard"/>
    <w:qFormat/>
    <w:pPr>
      <w:tabs>
        <w:tab w:val="clear" w:pos="709"/>
        <w:tab w:val="left" w:pos="720" w:leader="none"/>
      </w:tabs>
      <w:overflowPunct w:val="true"/>
      <w:spacing w:lineRule="atLeast" w:line="240"/>
      <w:jc w:val="both"/>
    </w:pPr>
    <w:rPr/>
  </w:style>
  <w:style w:type="paragraph" w:styleId="WW-Recuodecorpodetexto21" w:customStyle="1">
    <w:name w:val="WW-Recuo de corpo de texto 21"/>
    <w:basedOn w:val="Standard"/>
    <w:qFormat/>
    <w:pPr>
      <w:ind w:firstLine="1" w:left="350"/>
      <w:jc w:val="both"/>
    </w:pPr>
    <w:rPr>
      <w:lang w:val="en-US"/>
    </w:rPr>
  </w:style>
  <w:style w:type="paragraph" w:styleId="BodyText2">
    <w:name w:val="Body Text 2"/>
    <w:basedOn w:val="Standard"/>
    <w:qFormat/>
    <w:pPr>
      <w:widowControl w:val="false"/>
      <w:jc w:val="center"/>
    </w:pPr>
    <w:rPr>
      <w:rFonts w:ascii="Verdana" w:hAnsi="Verdana" w:eastAsia="Verdana" w:cs="Verdana"/>
      <w:b/>
      <w:bCs/>
      <w:sz w:val="28"/>
      <w:szCs w:val="28"/>
    </w:rPr>
  </w:style>
  <w:style w:type="paragraph" w:styleId="Contedodoquadro" w:customStyle="1">
    <w:name w:val="Conteúdo do quadro"/>
    <w:basedOn w:val="Textbody"/>
    <w:qFormat/>
    <w:pPr/>
    <w:rPr/>
  </w:style>
  <w:style w:type="paragraph" w:styleId="WW-Recuodecorpodetexto2" w:customStyle="1">
    <w:name w:val="WW-Recuo de corpo de texto 2"/>
    <w:basedOn w:val="Standard"/>
    <w:qFormat/>
    <w:pPr>
      <w:tabs>
        <w:tab w:val="clear" w:pos="709"/>
        <w:tab w:val="left" w:pos="1436" w:leader="none"/>
        <w:tab w:val="left" w:pos="2156" w:leader="none"/>
        <w:tab w:val="left" w:pos="2876" w:leader="none"/>
        <w:tab w:val="left" w:pos="3596" w:leader="none"/>
        <w:tab w:val="left" w:pos="4316" w:leader="none"/>
        <w:tab w:val="left" w:pos="5036" w:leader="none"/>
        <w:tab w:val="left" w:pos="5756" w:leader="none"/>
      </w:tabs>
      <w:ind w:left="284"/>
      <w:jc w:val="both"/>
    </w:pPr>
    <w:rPr>
      <w:lang w:val="en-US"/>
    </w:rPr>
  </w:style>
  <w:style w:type="paragraph" w:styleId="Ttulodetabela" w:customStyle="1">
    <w:name w:val="Título de tabela"/>
    <w:basedOn w:val="Contedodatabela"/>
    <w:qFormat/>
    <w:pPr>
      <w:jc w:val="center"/>
    </w:pPr>
    <w:rPr>
      <w:b/>
      <w:bCs/>
    </w:rPr>
  </w:style>
  <w:style w:type="paragraph" w:styleId="BodyText22" w:customStyle="1">
    <w:name w:val="Body Text 22"/>
    <w:basedOn w:val="Standard"/>
    <w:qFormat/>
    <w:pPr>
      <w:widowControl w:val="false"/>
      <w:suppressAutoHyphens w:val="false"/>
      <w:jc w:val="both"/>
    </w:pPr>
    <w:rPr/>
  </w:style>
  <w:style w:type="paragraph" w:styleId="TOC1">
    <w:name w:val="toc 1"/>
    <w:basedOn w:val="Normal"/>
    <w:next w:val="Normal"/>
    <w:autoRedefine/>
    <w:uiPriority w:val="39"/>
    <w:pPr>
      <w:spacing w:before="0" w:after="100"/>
    </w:pPr>
    <w:rPr>
      <w:rFonts w:cs="Mangal"/>
      <w:szCs w:val="21"/>
    </w:rPr>
  </w:style>
  <w:style w:type="paragraph" w:styleId="CommentText">
    <w:name w:val="annotation text"/>
    <w:basedOn w:val="Normal"/>
    <w:pPr/>
    <w:rPr>
      <w:rFonts w:cs="Mangal"/>
      <w:sz w:val="20"/>
      <w:szCs w:val="18"/>
    </w:rPr>
  </w:style>
  <w:style w:type="paragraph" w:styleId="annotationsubject">
    <w:name w:val="annotation subject"/>
    <w:basedOn w:val="CommentText"/>
    <w:next w:val="CommentText"/>
    <w:qFormat/>
    <w:pPr/>
    <w:rPr>
      <w:b/>
      <w:bCs/>
    </w:rPr>
  </w:style>
  <w:style w:type="paragraph" w:styleId="BalloonText">
    <w:name w:val="Balloon Text"/>
    <w:basedOn w:val="Normal"/>
    <w:qFormat/>
    <w:pPr/>
    <w:rPr>
      <w:rFonts w:ascii="Segoe UI" w:hAnsi="Segoe UI" w:eastAsia="Segoe UI" w:cs="Mangal"/>
      <w:sz w:val="18"/>
      <w:szCs w:val="16"/>
    </w:rPr>
  </w:style>
  <w:style w:type="paragraph" w:styleId="Revision">
    <w:name w:val="Revision"/>
    <w:qFormat/>
    <w:pPr>
      <w:widowControl/>
      <w:bidi w:val="0"/>
      <w:spacing w:before="0" w:after="0"/>
      <w:jc w:val="left"/>
      <w:textAlignment w:val="auto"/>
    </w:pPr>
    <w:rPr>
      <w:rFonts w:cs="Mangal" w:ascii="Liberation Serif" w:hAnsi="Liberation Serif" w:eastAsia="NSimSun"/>
      <w:color w:val="auto"/>
      <w:kern w:val="2"/>
      <w:sz w:val="24"/>
      <w:szCs w:val="21"/>
      <w:lang w:val="pt-BR" w:eastAsia="zh-CN" w:bidi="hi-IN"/>
    </w:rPr>
  </w:style>
  <w:style w:type="numbering" w:styleId="Semlista" w:default="1">
    <w:name w:val="Sem lista"/>
    <w:uiPriority w:val="99"/>
    <w:semiHidden/>
    <w:unhideWhenUsed/>
    <w:qFormat/>
  </w:style>
  <w:style w:type="numbering" w:styleId="WW8Num2" w:customStyle="1">
    <w:name w:val="WW8Num2"/>
    <w:qFormat/>
  </w:style>
  <w:style w:type="numbering" w:styleId="WW8Num8" w:customStyle="1">
    <w:name w:val="WW8Num8"/>
    <w:qFormat/>
  </w:style>
  <w:style w:type="numbering" w:styleId="WW8Num9" w:customStyle="1">
    <w:name w:val="WW8Num9"/>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nj.jus.br/improbidade_adm/consultar_requerido.php" TargetMode="External"/><Relationship Id="rId3" Type="http://schemas.openxmlformats.org/officeDocument/2006/relationships/hyperlink" Target="https://certidoes-apf.apps.tcu.gov.br/" TargetMode="External"/><Relationship Id="rId4" Type="http://schemas.openxmlformats.org/officeDocument/2006/relationships/hyperlink" Target="mailto:cenlic@caxias.rs.gov.br" TargetMode="External"/><Relationship Id="rId5" Type="http://schemas.openxmlformats.org/officeDocument/2006/relationships/hyperlink" Target="http://cenlic.caxias.rs.gov.br/licitacoes.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32</TotalTime>
  <Application>LibreOffice/24.8.3.2$Windows_X86_64 LibreOffice_project/bb3cfa12c7b1bf994ecc5649a80400d06cd71002</Application>
  <AppVersion>15.0000</AppVersion>
  <Pages>14</Pages>
  <Words>4571</Words>
  <Characters>25618</Characters>
  <CharactersWithSpaces>30384</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2026-03-16T12:54:00Z</dcterms:created>
  <dc:creator>Jessica Scopel Marchioretto</dc:creator>
  <dc:description/>
  <dc:language>pt-BR</dc:language>
  <cp:lastModifiedBy/>
  <dcterms:modified xsi:type="dcterms:W3CDTF">2026-04-07T10:43:52Z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file>